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6A08" w14:textId="77777777" w:rsidR="00D14FD2" w:rsidRDefault="00517EDD">
      <w:pPr>
        <w:spacing w:before="19"/>
        <w:ind w:left="1822"/>
        <w:rPr>
          <w:b/>
          <w:sz w:val="28"/>
        </w:rPr>
      </w:pPr>
      <w:bookmarkStart w:id="0" w:name="_GoBack"/>
      <w:bookmarkEnd w:id="0"/>
      <w:r>
        <w:rPr>
          <w:b/>
          <w:sz w:val="28"/>
        </w:rPr>
        <w:t>Idaho Commission on Aging (ICOA) Technical Guidance</w:t>
      </w:r>
    </w:p>
    <w:p w14:paraId="54AA5FC4" w14:textId="77777777" w:rsidR="00D14FD2" w:rsidRDefault="00D14FD2">
      <w:pPr>
        <w:pStyle w:val="BodyText"/>
        <w:rPr>
          <w:b/>
          <w:sz w:val="20"/>
        </w:rPr>
      </w:pPr>
    </w:p>
    <w:p w14:paraId="2728B826" w14:textId="77777777" w:rsidR="00D14FD2" w:rsidRDefault="00D14FD2">
      <w:pPr>
        <w:pStyle w:val="BodyText"/>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1800"/>
      </w:tblGrid>
      <w:tr w:rsidR="00D14FD2" w14:paraId="2A877E8B" w14:textId="77777777">
        <w:trPr>
          <w:trHeight w:val="294"/>
        </w:trPr>
        <w:tc>
          <w:tcPr>
            <w:tcW w:w="7651" w:type="dxa"/>
            <w:shd w:val="clear" w:color="auto" w:fill="B8CCE4"/>
          </w:tcPr>
          <w:p w14:paraId="602D55DB" w14:textId="77777777" w:rsidR="00D14FD2" w:rsidRDefault="00517EDD">
            <w:pPr>
              <w:pStyle w:val="TableParagraph"/>
              <w:ind w:right="1673"/>
              <w:rPr>
                <w:b/>
              </w:rPr>
            </w:pPr>
            <w:r>
              <w:rPr>
                <w:b/>
              </w:rPr>
              <w:t>Policy Subject</w:t>
            </w:r>
          </w:p>
        </w:tc>
        <w:tc>
          <w:tcPr>
            <w:tcW w:w="1800" w:type="dxa"/>
            <w:shd w:val="clear" w:color="auto" w:fill="B8CCE4"/>
          </w:tcPr>
          <w:p w14:paraId="46439A69" w14:textId="77777777" w:rsidR="00D14FD2" w:rsidRDefault="00517EDD">
            <w:pPr>
              <w:pStyle w:val="TableParagraph"/>
              <w:ind w:left="446"/>
              <w:rPr>
                <w:b/>
              </w:rPr>
            </w:pPr>
            <w:r>
              <w:rPr>
                <w:b/>
              </w:rPr>
              <w:t>Policy #</w:t>
            </w:r>
          </w:p>
        </w:tc>
      </w:tr>
      <w:tr w:rsidR="00D14FD2" w14:paraId="3B06B6F0" w14:textId="77777777">
        <w:trPr>
          <w:trHeight w:val="592"/>
        </w:trPr>
        <w:tc>
          <w:tcPr>
            <w:tcW w:w="7651" w:type="dxa"/>
          </w:tcPr>
          <w:p w14:paraId="194B24AE" w14:textId="77777777" w:rsidR="00637CA5" w:rsidRPr="00637CA5" w:rsidRDefault="00637CA5" w:rsidP="00637CA5">
            <w:pPr>
              <w:jc w:val="center"/>
              <w:rPr>
                <w:b/>
                <w:bCs/>
                <w:sz w:val="28"/>
                <w:szCs w:val="28"/>
              </w:rPr>
            </w:pPr>
            <w:r w:rsidRPr="00637CA5">
              <w:rPr>
                <w:b/>
                <w:bCs/>
                <w:sz w:val="28"/>
                <w:szCs w:val="28"/>
              </w:rPr>
              <w:t xml:space="preserve">Window and Outdoor Visitation to Long Term Care Facilities </w:t>
            </w:r>
          </w:p>
          <w:p w14:paraId="72CAE3E6" w14:textId="77777777" w:rsidR="00637CA5" w:rsidRDefault="00637CA5" w:rsidP="00637CA5">
            <w:pPr>
              <w:jc w:val="center"/>
              <w:rPr>
                <w:b/>
                <w:bCs/>
                <w:sz w:val="32"/>
                <w:szCs w:val="32"/>
              </w:rPr>
            </w:pPr>
            <w:r w:rsidRPr="00637CA5">
              <w:rPr>
                <w:b/>
                <w:bCs/>
                <w:sz w:val="28"/>
                <w:szCs w:val="28"/>
              </w:rPr>
              <w:t>Guidance</w:t>
            </w:r>
            <w:r>
              <w:rPr>
                <w:b/>
                <w:bCs/>
                <w:sz w:val="32"/>
                <w:szCs w:val="32"/>
              </w:rPr>
              <w:t xml:space="preserve"> </w:t>
            </w:r>
          </w:p>
          <w:p w14:paraId="63FF3F82" w14:textId="1E50B562" w:rsidR="00D14FD2" w:rsidRDefault="00D14FD2">
            <w:pPr>
              <w:pStyle w:val="TableParagraph"/>
              <w:spacing w:before="29" w:line="240" w:lineRule="auto"/>
              <w:ind w:right="1673"/>
              <w:rPr>
                <w:b/>
              </w:rPr>
            </w:pPr>
          </w:p>
        </w:tc>
        <w:tc>
          <w:tcPr>
            <w:tcW w:w="1800" w:type="dxa"/>
          </w:tcPr>
          <w:p w14:paraId="523449F9" w14:textId="3D19C113" w:rsidR="00D14FD2" w:rsidRPr="003D7F5D" w:rsidRDefault="00517EDD" w:rsidP="00A258E9">
            <w:pPr>
              <w:pStyle w:val="TableParagraph"/>
              <w:ind w:left="0"/>
              <w:rPr>
                <w:b/>
                <w:color w:val="FF0000"/>
              </w:rPr>
            </w:pPr>
            <w:r>
              <w:rPr>
                <w:b/>
              </w:rPr>
              <w:t>TG.</w:t>
            </w:r>
            <w:r w:rsidR="00A258E9">
              <w:rPr>
                <w:b/>
              </w:rPr>
              <w:t>OM.02</w:t>
            </w:r>
          </w:p>
        </w:tc>
      </w:tr>
    </w:tbl>
    <w:p w14:paraId="5F2B8AD4" w14:textId="60385B86" w:rsidR="00102D65" w:rsidRPr="00102D65" w:rsidRDefault="00102D65" w:rsidP="00102D65">
      <w:pPr>
        <w:pStyle w:val="Default"/>
        <w:rPr>
          <w:rFonts w:ascii="Arial" w:hAnsi="Arial" w:cs="Arial"/>
        </w:rPr>
      </w:pPr>
    </w:p>
    <w:p w14:paraId="518382FF" w14:textId="77777777" w:rsidR="00637CA5" w:rsidRPr="00637CA5" w:rsidRDefault="00637CA5" w:rsidP="00637CA5">
      <w:pPr>
        <w:rPr>
          <w:rFonts w:asciiTheme="minorHAnsi" w:hAnsiTheme="minorHAnsi" w:cstheme="minorHAnsi"/>
          <w:sz w:val="24"/>
          <w:szCs w:val="24"/>
        </w:rPr>
      </w:pPr>
      <w:r w:rsidRPr="00637CA5">
        <w:rPr>
          <w:rFonts w:asciiTheme="minorHAnsi" w:hAnsiTheme="minorHAnsi" w:cstheme="minorHAnsi"/>
          <w:sz w:val="24"/>
          <w:szCs w:val="24"/>
        </w:rPr>
        <w:t xml:space="preserve">Long Term Care Ombudsman are mandated resident advocates as authorized through the Older Americans Act and are required to be accessible to residents residing in long term care facilities.  Covid-19 hasn’t changed what we do…… It has changed how we fulfill the requirements of our job.  </w:t>
      </w:r>
    </w:p>
    <w:p w14:paraId="3D455544" w14:textId="77777777" w:rsidR="00637CA5" w:rsidRPr="00637CA5" w:rsidRDefault="00637CA5" w:rsidP="00637CA5">
      <w:pPr>
        <w:rPr>
          <w:rFonts w:asciiTheme="minorHAnsi" w:hAnsiTheme="minorHAnsi" w:cstheme="minorHAnsi"/>
          <w:sz w:val="24"/>
          <w:szCs w:val="24"/>
        </w:rPr>
      </w:pPr>
    </w:p>
    <w:p w14:paraId="27E4E95F" w14:textId="2CAD9DE8" w:rsidR="00637CA5" w:rsidRPr="00637CA5" w:rsidRDefault="00637CA5" w:rsidP="00637CA5">
      <w:pPr>
        <w:rPr>
          <w:rFonts w:asciiTheme="minorHAnsi" w:hAnsiTheme="minorHAnsi" w:cstheme="minorHAnsi"/>
          <w:sz w:val="24"/>
          <w:szCs w:val="24"/>
        </w:rPr>
      </w:pPr>
      <w:r w:rsidRPr="00637CA5">
        <w:rPr>
          <w:rFonts w:asciiTheme="minorHAnsi" w:hAnsiTheme="minorHAnsi" w:cstheme="minorHAnsi"/>
          <w:sz w:val="24"/>
          <w:szCs w:val="24"/>
        </w:rPr>
        <w:t xml:space="preserve">We have developed new skills... out of necessity to provide access to the </w:t>
      </w:r>
      <w:r w:rsidR="007E2A2F">
        <w:rPr>
          <w:rFonts w:asciiTheme="minorHAnsi" w:hAnsiTheme="minorHAnsi" w:cstheme="minorHAnsi"/>
          <w:sz w:val="24"/>
          <w:szCs w:val="24"/>
        </w:rPr>
        <w:t>O</w:t>
      </w:r>
      <w:r w:rsidRPr="00637CA5">
        <w:rPr>
          <w:rFonts w:asciiTheme="minorHAnsi" w:hAnsiTheme="minorHAnsi" w:cstheme="minorHAnsi"/>
          <w:sz w:val="24"/>
          <w:szCs w:val="24"/>
        </w:rPr>
        <w:t xml:space="preserve">mbudsman </w:t>
      </w:r>
      <w:r w:rsidR="007E2A2F">
        <w:rPr>
          <w:rFonts w:asciiTheme="minorHAnsi" w:hAnsiTheme="minorHAnsi" w:cstheme="minorHAnsi"/>
          <w:sz w:val="24"/>
          <w:szCs w:val="24"/>
        </w:rPr>
        <w:t>P</w:t>
      </w:r>
      <w:r w:rsidRPr="00637CA5">
        <w:rPr>
          <w:rFonts w:asciiTheme="minorHAnsi" w:hAnsiTheme="minorHAnsi" w:cstheme="minorHAnsi"/>
          <w:sz w:val="24"/>
          <w:szCs w:val="24"/>
        </w:rPr>
        <w:t>rogram these past four month</w:t>
      </w:r>
      <w:r w:rsidR="00F23F9D">
        <w:rPr>
          <w:rFonts w:asciiTheme="minorHAnsi" w:hAnsiTheme="minorHAnsi" w:cstheme="minorHAnsi"/>
          <w:sz w:val="24"/>
          <w:szCs w:val="24"/>
        </w:rPr>
        <w:t>s</w:t>
      </w:r>
      <w:r w:rsidRPr="00637CA5">
        <w:rPr>
          <w:rFonts w:asciiTheme="minorHAnsi" w:hAnsiTheme="minorHAnsi" w:cstheme="minorHAnsi"/>
          <w:sz w:val="24"/>
          <w:szCs w:val="24"/>
        </w:rPr>
        <w:t xml:space="preserve"> and will continue to use these methods as our primary source of contact for the wellbeing and safety of the Ombudsman and the residents residing in long term care facilities.</w:t>
      </w:r>
    </w:p>
    <w:p w14:paraId="13D9A8EC" w14:textId="77777777" w:rsidR="00637CA5" w:rsidRPr="00637CA5" w:rsidRDefault="00637CA5" w:rsidP="00637CA5">
      <w:pPr>
        <w:rPr>
          <w:rFonts w:asciiTheme="minorHAnsi" w:hAnsiTheme="minorHAnsi" w:cstheme="minorHAnsi"/>
          <w:sz w:val="24"/>
          <w:szCs w:val="24"/>
        </w:rPr>
      </w:pPr>
    </w:p>
    <w:p w14:paraId="20321D2F" w14:textId="77777777" w:rsidR="00637CA5" w:rsidRPr="00637CA5" w:rsidRDefault="00637CA5" w:rsidP="00637CA5">
      <w:pPr>
        <w:rPr>
          <w:rFonts w:asciiTheme="minorHAnsi" w:hAnsiTheme="minorHAnsi" w:cstheme="minorHAnsi"/>
          <w:sz w:val="24"/>
          <w:szCs w:val="24"/>
        </w:rPr>
      </w:pPr>
      <w:r w:rsidRPr="00637CA5">
        <w:rPr>
          <w:rFonts w:asciiTheme="minorHAnsi" w:hAnsiTheme="minorHAnsi" w:cstheme="minorHAnsi"/>
          <w:sz w:val="24"/>
          <w:szCs w:val="24"/>
        </w:rPr>
        <w:t>The following protocol will be implemented for Idaho to increase accessibility to residents residing in long term care facilities to the Ombudsman program for advocacy purposes.  This protocol is subject to change as conditions within the state change.  This guidance will apply to both ombudsman and volunteers/assistant ombudsman.</w:t>
      </w:r>
    </w:p>
    <w:p w14:paraId="3D96576F" w14:textId="77777777" w:rsidR="00637CA5" w:rsidRPr="00637CA5" w:rsidRDefault="00637CA5" w:rsidP="00637CA5">
      <w:pPr>
        <w:rPr>
          <w:rFonts w:asciiTheme="minorHAnsi" w:hAnsiTheme="minorHAnsi" w:cstheme="minorHAnsi"/>
          <w:sz w:val="24"/>
          <w:szCs w:val="24"/>
        </w:rPr>
      </w:pPr>
    </w:p>
    <w:p w14:paraId="4BA5227A" w14:textId="77777777" w:rsidR="00637CA5" w:rsidRPr="00637CA5" w:rsidRDefault="00637CA5" w:rsidP="00637CA5">
      <w:pPr>
        <w:pStyle w:val="Default"/>
        <w:rPr>
          <w:rFonts w:asciiTheme="minorHAnsi" w:hAnsiTheme="minorHAnsi" w:cstheme="minorHAnsi"/>
        </w:rPr>
      </w:pPr>
      <w:r w:rsidRPr="00637CA5">
        <w:rPr>
          <w:rFonts w:asciiTheme="minorHAnsi" w:hAnsiTheme="minorHAnsi" w:cstheme="minorHAnsi"/>
          <w:b/>
          <w:bCs/>
        </w:rPr>
        <w:t>Prior to participating in “Window Visitation”:</w:t>
      </w:r>
      <w:r w:rsidRPr="00637CA5">
        <w:rPr>
          <w:rFonts w:asciiTheme="minorHAnsi" w:hAnsiTheme="minorHAnsi" w:cstheme="minorHAnsi"/>
        </w:rPr>
        <w:t xml:space="preserve"> </w:t>
      </w:r>
    </w:p>
    <w:p w14:paraId="19288467" w14:textId="2EFA531A" w:rsidR="00637CA5" w:rsidRDefault="00637CA5" w:rsidP="00637CA5">
      <w:pPr>
        <w:rPr>
          <w:rFonts w:asciiTheme="minorHAnsi" w:hAnsiTheme="minorHAnsi" w:cstheme="minorHAnsi"/>
          <w:color w:val="365F91" w:themeColor="accent1" w:themeShade="BF"/>
          <w:sz w:val="24"/>
          <w:szCs w:val="24"/>
        </w:rPr>
      </w:pPr>
      <w:r w:rsidRPr="00637CA5">
        <w:rPr>
          <w:rFonts w:asciiTheme="minorHAnsi" w:hAnsiTheme="minorHAnsi" w:cstheme="minorHAnsi"/>
          <w:sz w:val="24"/>
          <w:szCs w:val="24"/>
        </w:rPr>
        <w:t xml:space="preserve"> If an Ombudsman has a</w:t>
      </w:r>
      <w:r w:rsidR="00DE267D">
        <w:rPr>
          <w:rFonts w:asciiTheme="minorHAnsi" w:hAnsiTheme="minorHAnsi" w:cstheme="minorHAnsi"/>
          <w:sz w:val="24"/>
          <w:szCs w:val="24"/>
        </w:rPr>
        <w:t>n</w:t>
      </w:r>
      <w:r w:rsidRPr="00637CA5">
        <w:rPr>
          <w:rFonts w:asciiTheme="minorHAnsi" w:hAnsiTheme="minorHAnsi" w:cstheme="minorHAnsi"/>
          <w:sz w:val="24"/>
          <w:szCs w:val="24"/>
        </w:rPr>
        <w:t xml:space="preserve"> underlying medical condition, that individual should talk to his or her doctor to see if they should conduct any type of facility visit.   For information on people who are at higher risk, see the CDC’s guidance here: </w:t>
      </w:r>
      <w:hyperlink r:id="rId8" w:history="1">
        <w:r w:rsidR="00005D7B" w:rsidRPr="00BB0116">
          <w:rPr>
            <w:rStyle w:val="Hyperlink"/>
            <w:rFonts w:asciiTheme="minorHAnsi" w:hAnsiTheme="minorHAnsi" w:cstheme="minorHAnsi"/>
            <w:sz w:val="24"/>
            <w:szCs w:val="24"/>
          </w:rPr>
          <w:t>https://www.cdc.gov/coronavirus/2019-ncov/need-extra-precautions/people-at-higher-risk.html</w:t>
        </w:r>
      </w:hyperlink>
    </w:p>
    <w:p w14:paraId="62D919B7" w14:textId="77777777" w:rsidR="00005D7B" w:rsidRPr="00637CA5" w:rsidRDefault="00005D7B" w:rsidP="00637CA5">
      <w:pPr>
        <w:rPr>
          <w:rFonts w:asciiTheme="minorHAnsi" w:hAnsiTheme="minorHAnsi" w:cstheme="minorHAnsi"/>
          <w:b/>
          <w:bCs/>
          <w:color w:val="365F91" w:themeColor="accent1" w:themeShade="BF"/>
          <w:sz w:val="24"/>
          <w:szCs w:val="24"/>
        </w:rPr>
      </w:pPr>
    </w:p>
    <w:p w14:paraId="426C3457" w14:textId="0C209D90" w:rsidR="00637CA5" w:rsidRPr="00637CA5" w:rsidRDefault="001C3560" w:rsidP="00637CA5">
      <w:pPr>
        <w:rPr>
          <w:rFonts w:asciiTheme="minorHAnsi" w:hAnsiTheme="minorHAnsi" w:cstheme="minorHAnsi"/>
          <w:sz w:val="24"/>
          <w:szCs w:val="24"/>
        </w:rPr>
      </w:pPr>
      <w:r>
        <w:rPr>
          <w:rFonts w:asciiTheme="minorHAnsi" w:hAnsiTheme="minorHAnsi" w:cstheme="minorHAnsi"/>
          <w:sz w:val="24"/>
          <w:szCs w:val="24"/>
        </w:rPr>
        <w:t>It</w:t>
      </w:r>
      <w:r w:rsidR="00637CA5" w:rsidRPr="00637CA5">
        <w:rPr>
          <w:rFonts w:asciiTheme="minorHAnsi" w:hAnsiTheme="minorHAnsi" w:cstheme="minorHAnsi"/>
          <w:sz w:val="24"/>
          <w:szCs w:val="24"/>
        </w:rPr>
        <w:t xml:space="preserve"> is </w:t>
      </w:r>
      <w:r>
        <w:rPr>
          <w:rFonts w:asciiTheme="minorHAnsi" w:hAnsiTheme="minorHAnsi" w:cstheme="minorHAnsi"/>
          <w:sz w:val="24"/>
          <w:szCs w:val="24"/>
        </w:rPr>
        <w:t xml:space="preserve">the </w:t>
      </w:r>
      <w:r w:rsidRPr="00637CA5">
        <w:rPr>
          <w:rFonts w:asciiTheme="minorHAnsi" w:hAnsiTheme="minorHAnsi" w:cstheme="minorHAnsi"/>
          <w:sz w:val="24"/>
          <w:szCs w:val="24"/>
        </w:rPr>
        <w:t>responsibility</w:t>
      </w:r>
      <w:r w:rsidR="00637CA5" w:rsidRPr="00637CA5">
        <w:rPr>
          <w:rFonts w:asciiTheme="minorHAnsi" w:hAnsiTheme="minorHAnsi" w:cstheme="minorHAnsi"/>
          <w:sz w:val="24"/>
          <w:szCs w:val="24"/>
        </w:rPr>
        <w:t xml:space="preserve"> </w:t>
      </w:r>
      <w:r>
        <w:rPr>
          <w:rFonts w:asciiTheme="minorHAnsi" w:hAnsiTheme="minorHAnsi" w:cstheme="minorHAnsi"/>
          <w:sz w:val="24"/>
          <w:szCs w:val="24"/>
        </w:rPr>
        <w:t xml:space="preserve">of the Ombudsman </w:t>
      </w:r>
      <w:r w:rsidR="00637CA5" w:rsidRPr="00637CA5">
        <w:rPr>
          <w:rFonts w:asciiTheme="minorHAnsi" w:hAnsiTheme="minorHAnsi" w:cstheme="minorHAnsi"/>
          <w:sz w:val="24"/>
          <w:szCs w:val="24"/>
        </w:rPr>
        <w:t xml:space="preserve">to assure that </w:t>
      </w:r>
      <w:r>
        <w:rPr>
          <w:rFonts w:asciiTheme="minorHAnsi" w:hAnsiTheme="minorHAnsi" w:cstheme="minorHAnsi"/>
          <w:sz w:val="24"/>
          <w:szCs w:val="24"/>
        </w:rPr>
        <w:t xml:space="preserve">they </w:t>
      </w:r>
      <w:r w:rsidR="00637CA5" w:rsidRPr="00637CA5">
        <w:rPr>
          <w:rFonts w:asciiTheme="minorHAnsi" w:hAnsiTheme="minorHAnsi" w:cstheme="minorHAnsi"/>
          <w:sz w:val="24"/>
          <w:szCs w:val="24"/>
        </w:rPr>
        <w:t xml:space="preserve">are well prior to going to a facility no matter what type of visit </w:t>
      </w:r>
      <w:r>
        <w:rPr>
          <w:rFonts w:asciiTheme="minorHAnsi" w:hAnsiTheme="minorHAnsi" w:cstheme="minorHAnsi"/>
          <w:sz w:val="24"/>
          <w:szCs w:val="24"/>
        </w:rPr>
        <w:t xml:space="preserve">they </w:t>
      </w:r>
      <w:r w:rsidRPr="00637CA5">
        <w:rPr>
          <w:rFonts w:asciiTheme="minorHAnsi" w:hAnsiTheme="minorHAnsi" w:cstheme="minorHAnsi"/>
          <w:sz w:val="24"/>
          <w:szCs w:val="24"/>
        </w:rPr>
        <w:t>are</w:t>
      </w:r>
      <w:r w:rsidR="00637CA5" w:rsidRPr="00637CA5">
        <w:rPr>
          <w:rFonts w:asciiTheme="minorHAnsi" w:hAnsiTheme="minorHAnsi" w:cstheme="minorHAnsi"/>
          <w:sz w:val="24"/>
          <w:szCs w:val="24"/>
        </w:rPr>
        <w:t xml:space="preserve"> making.  If</w:t>
      </w:r>
      <w:r>
        <w:rPr>
          <w:rFonts w:asciiTheme="minorHAnsi" w:hAnsiTheme="minorHAnsi" w:cstheme="minorHAnsi"/>
          <w:sz w:val="24"/>
          <w:szCs w:val="24"/>
        </w:rPr>
        <w:t xml:space="preserve"> an ombudsman is</w:t>
      </w:r>
      <w:r w:rsidR="00637CA5" w:rsidRPr="00637CA5">
        <w:rPr>
          <w:rFonts w:asciiTheme="minorHAnsi" w:hAnsiTheme="minorHAnsi" w:cstheme="minorHAnsi"/>
          <w:sz w:val="24"/>
          <w:szCs w:val="24"/>
        </w:rPr>
        <w:t xml:space="preserve"> not feeling </w:t>
      </w:r>
      <w:r w:rsidRPr="00637CA5">
        <w:rPr>
          <w:rFonts w:asciiTheme="minorHAnsi" w:hAnsiTheme="minorHAnsi" w:cstheme="minorHAnsi"/>
          <w:sz w:val="24"/>
          <w:szCs w:val="24"/>
        </w:rPr>
        <w:t xml:space="preserve">well, </w:t>
      </w:r>
      <w:r>
        <w:rPr>
          <w:rFonts w:asciiTheme="minorHAnsi" w:hAnsiTheme="minorHAnsi" w:cstheme="minorHAnsi"/>
          <w:sz w:val="24"/>
          <w:szCs w:val="24"/>
        </w:rPr>
        <w:t xml:space="preserve">they should </w:t>
      </w:r>
      <w:r w:rsidRPr="00637CA5">
        <w:rPr>
          <w:rFonts w:asciiTheme="minorHAnsi" w:hAnsiTheme="minorHAnsi" w:cstheme="minorHAnsi"/>
          <w:sz w:val="24"/>
          <w:szCs w:val="24"/>
        </w:rPr>
        <w:t>not</w:t>
      </w:r>
      <w:r w:rsidR="00637CA5" w:rsidRPr="00637CA5">
        <w:rPr>
          <w:rFonts w:asciiTheme="minorHAnsi" w:hAnsiTheme="minorHAnsi" w:cstheme="minorHAnsi"/>
          <w:sz w:val="24"/>
          <w:szCs w:val="24"/>
        </w:rPr>
        <w:t xml:space="preserve"> make a visit to any long-term care facility. </w:t>
      </w:r>
    </w:p>
    <w:p w14:paraId="218D26B5" w14:textId="77777777" w:rsidR="00637CA5" w:rsidRPr="00637CA5" w:rsidRDefault="00637CA5" w:rsidP="00637CA5">
      <w:pPr>
        <w:rPr>
          <w:rFonts w:asciiTheme="minorHAnsi" w:hAnsiTheme="minorHAnsi" w:cstheme="minorHAnsi"/>
          <w:sz w:val="24"/>
          <w:szCs w:val="24"/>
        </w:rPr>
      </w:pPr>
    </w:p>
    <w:p w14:paraId="3F12B5C3" w14:textId="5D61C4FA" w:rsidR="00637CA5" w:rsidRPr="00637CA5" w:rsidRDefault="00637CA5" w:rsidP="00637CA5">
      <w:pPr>
        <w:pStyle w:val="Default"/>
        <w:rPr>
          <w:rFonts w:asciiTheme="minorHAnsi" w:hAnsiTheme="minorHAnsi" w:cstheme="minorHAnsi"/>
        </w:rPr>
      </w:pPr>
      <w:r w:rsidRPr="00637CA5">
        <w:rPr>
          <w:rFonts w:asciiTheme="minorHAnsi" w:hAnsiTheme="minorHAnsi" w:cstheme="minorHAnsi"/>
        </w:rPr>
        <w:t xml:space="preserve">Coughing, sneezing, and fever do not necessarily mean that </w:t>
      </w:r>
      <w:r w:rsidR="001C3560">
        <w:rPr>
          <w:rFonts w:asciiTheme="minorHAnsi" w:hAnsiTheme="minorHAnsi" w:cstheme="minorHAnsi"/>
        </w:rPr>
        <w:t>a person has</w:t>
      </w:r>
      <w:r w:rsidRPr="00637CA5">
        <w:rPr>
          <w:rFonts w:asciiTheme="minorHAnsi" w:hAnsiTheme="minorHAnsi" w:cstheme="minorHAnsi"/>
        </w:rPr>
        <w:t xml:space="preserve"> COVID-19. But </w:t>
      </w:r>
      <w:r w:rsidR="0053613A">
        <w:rPr>
          <w:rFonts w:asciiTheme="minorHAnsi" w:hAnsiTheme="minorHAnsi" w:cstheme="minorHAnsi"/>
        </w:rPr>
        <w:t xml:space="preserve">the ombudsman should </w:t>
      </w:r>
      <w:r w:rsidRPr="00637CA5">
        <w:rPr>
          <w:rFonts w:asciiTheme="minorHAnsi" w:hAnsiTheme="minorHAnsi" w:cstheme="minorHAnsi"/>
        </w:rPr>
        <w:t xml:space="preserve">use precaution. </w:t>
      </w:r>
      <w:r w:rsidR="001C3560">
        <w:rPr>
          <w:rFonts w:asciiTheme="minorHAnsi" w:hAnsiTheme="minorHAnsi" w:cstheme="minorHAnsi"/>
        </w:rPr>
        <w:t>When feeling sick</w:t>
      </w:r>
      <w:r w:rsidRPr="00637CA5">
        <w:rPr>
          <w:rFonts w:asciiTheme="minorHAnsi" w:hAnsiTheme="minorHAnsi" w:cstheme="minorHAnsi"/>
        </w:rPr>
        <w:t xml:space="preserve">, </w:t>
      </w:r>
      <w:r w:rsidR="0053613A">
        <w:rPr>
          <w:rFonts w:asciiTheme="minorHAnsi" w:hAnsiTheme="minorHAnsi" w:cstheme="minorHAnsi"/>
        </w:rPr>
        <w:t>they should c</w:t>
      </w:r>
      <w:r w:rsidRPr="00637CA5">
        <w:rPr>
          <w:rFonts w:asciiTheme="minorHAnsi" w:hAnsiTheme="minorHAnsi" w:cstheme="minorHAnsi"/>
        </w:rPr>
        <w:t xml:space="preserve">all </w:t>
      </w:r>
      <w:r w:rsidR="0053613A">
        <w:rPr>
          <w:rFonts w:asciiTheme="minorHAnsi" w:hAnsiTheme="minorHAnsi" w:cstheme="minorHAnsi"/>
        </w:rPr>
        <w:t>their</w:t>
      </w:r>
      <w:r w:rsidRPr="00637CA5">
        <w:rPr>
          <w:rFonts w:asciiTheme="minorHAnsi" w:hAnsiTheme="minorHAnsi" w:cstheme="minorHAnsi"/>
        </w:rPr>
        <w:t xml:space="preserve"> healthcare provider and then notify </w:t>
      </w:r>
      <w:r w:rsidR="00B776C3">
        <w:rPr>
          <w:rFonts w:asciiTheme="minorHAnsi" w:hAnsiTheme="minorHAnsi" w:cstheme="minorHAnsi"/>
        </w:rPr>
        <w:t xml:space="preserve">their </w:t>
      </w:r>
      <w:r w:rsidR="00B776C3" w:rsidRPr="00637CA5">
        <w:rPr>
          <w:rFonts w:asciiTheme="minorHAnsi" w:hAnsiTheme="minorHAnsi" w:cstheme="minorHAnsi"/>
        </w:rPr>
        <w:t>supervisor</w:t>
      </w:r>
      <w:r w:rsidRPr="00637CA5">
        <w:rPr>
          <w:rFonts w:asciiTheme="minorHAnsi" w:hAnsiTheme="minorHAnsi" w:cstheme="minorHAnsi"/>
        </w:rPr>
        <w:t xml:space="preserve"> as soon as possible and stay home.</w:t>
      </w:r>
    </w:p>
    <w:p w14:paraId="4BD3C2AB" w14:textId="77777777" w:rsidR="00637CA5" w:rsidRPr="00637CA5" w:rsidRDefault="00637CA5" w:rsidP="00637CA5">
      <w:pPr>
        <w:pStyle w:val="Default"/>
        <w:rPr>
          <w:rFonts w:asciiTheme="minorHAnsi" w:hAnsiTheme="minorHAnsi" w:cstheme="minorHAnsi"/>
        </w:rPr>
      </w:pPr>
    </w:p>
    <w:p w14:paraId="15E0093E" w14:textId="6540E5AF" w:rsidR="00637CA5" w:rsidRPr="00637CA5" w:rsidRDefault="00637CA5" w:rsidP="00637CA5">
      <w:pPr>
        <w:pStyle w:val="Default"/>
        <w:rPr>
          <w:rFonts w:asciiTheme="minorHAnsi" w:hAnsiTheme="minorHAnsi" w:cstheme="minorHAnsi"/>
        </w:rPr>
      </w:pPr>
      <w:r w:rsidRPr="00637CA5">
        <w:rPr>
          <w:rFonts w:asciiTheme="minorHAnsi" w:hAnsiTheme="minorHAnsi" w:cstheme="minorHAnsi"/>
        </w:rPr>
        <w:t xml:space="preserve">If </w:t>
      </w:r>
      <w:r w:rsidR="001C3560">
        <w:rPr>
          <w:rFonts w:asciiTheme="minorHAnsi" w:hAnsiTheme="minorHAnsi" w:cstheme="minorHAnsi"/>
        </w:rPr>
        <w:t>an ombudsman should</w:t>
      </w:r>
      <w:r w:rsidRPr="00637CA5">
        <w:rPr>
          <w:rFonts w:asciiTheme="minorHAnsi" w:hAnsiTheme="minorHAnsi" w:cstheme="minorHAnsi"/>
        </w:rPr>
        <w:t xml:space="preserve"> test positive for COVID-19 </w:t>
      </w:r>
      <w:r w:rsidR="001C3560">
        <w:rPr>
          <w:rFonts w:asciiTheme="minorHAnsi" w:hAnsiTheme="minorHAnsi" w:cstheme="minorHAnsi"/>
        </w:rPr>
        <w:t xml:space="preserve">they should </w:t>
      </w:r>
      <w:r w:rsidRPr="00637CA5">
        <w:rPr>
          <w:rFonts w:asciiTheme="minorHAnsi" w:hAnsiTheme="minorHAnsi" w:cstheme="minorHAnsi"/>
        </w:rPr>
        <w:t xml:space="preserve">notify the local health department and provide </w:t>
      </w:r>
      <w:r w:rsidR="001F7DF2">
        <w:rPr>
          <w:rFonts w:asciiTheme="minorHAnsi" w:hAnsiTheme="minorHAnsi" w:cstheme="minorHAnsi"/>
        </w:rPr>
        <w:t xml:space="preserve">the names </w:t>
      </w:r>
      <w:r w:rsidR="00AD7E24">
        <w:rPr>
          <w:rFonts w:asciiTheme="minorHAnsi" w:hAnsiTheme="minorHAnsi" w:cstheme="minorHAnsi"/>
        </w:rPr>
        <w:t xml:space="preserve">of </w:t>
      </w:r>
      <w:r w:rsidR="00B10863" w:rsidRPr="00637CA5">
        <w:rPr>
          <w:rFonts w:asciiTheme="minorHAnsi" w:hAnsiTheme="minorHAnsi" w:cstheme="minorHAnsi"/>
        </w:rPr>
        <w:t>facilitie</w:t>
      </w:r>
      <w:r w:rsidR="00B10863">
        <w:rPr>
          <w:rFonts w:asciiTheme="minorHAnsi" w:hAnsiTheme="minorHAnsi" w:cstheme="minorHAnsi"/>
        </w:rPr>
        <w:t>s,</w:t>
      </w:r>
      <w:r w:rsidR="001C3560">
        <w:rPr>
          <w:rFonts w:asciiTheme="minorHAnsi" w:hAnsiTheme="minorHAnsi" w:cstheme="minorHAnsi"/>
        </w:rPr>
        <w:t xml:space="preserve"> they </w:t>
      </w:r>
      <w:r w:rsidRPr="00637CA5">
        <w:rPr>
          <w:rFonts w:asciiTheme="minorHAnsi" w:hAnsiTheme="minorHAnsi" w:cstheme="minorHAnsi"/>
        </w:rPr>
        <w:t xml:space="preserve">made visits to.  </w:t>
      </w:r>
      <w:r w:rsidR="00B10863">
        <w:rPr>
          <w:rFonts w:asciiTheme="minorHAnsi" w:hAnsiTheme="minorHAnsi" w:cstheme="minorHAnsi"/>
        </w:rPr>
        <w:t>The local Ombudsman will i</w:t>
      </w:r>
      <w:r w:rsidR="00B10863" w:rsidRPr="00637CA5">
        <w:rPr>
          <w:rFonts w:asciiTheme="minorHAnsi" w:hAnsiTheme="minorHAnsi" w:cstheme="minorHAnsi"/>
        </w:rPr>
        <w:t>mmediately</w:t>
      </w:r>
      <w:r w:rsidRPr="00637CA5">
        <w:rPr>
          <w:rFonts w:asciiTheme="minorHAnsi" w:hAnsiTheme="minorHAnsi" w:cstheme="minorHAnsi"/>
        </w:rPr>
        <w:t xml:space="preserve"> contact the State Ombudsman.</w:t>
      </w:r>
    </w:p>
    <w:p w14:paraId="4ECF514F" w14:textId="77777777" w:rsidR="00637CA5" w:rsidRPr="00637CA5" w:rsidRDefault="00637CA5" w:rsidP="00637CA5">
      <w:pPr>
        <w:pStyle w:val="Default"/>
        <w:rPr>
          <w:rFonts w:asciiTheme="minorHAnsi" w:hAnsiTheme="minorHAnsi" w:cstheme="minorHAnsi"/>
        </w:rPr>
      </w:pPr>
    </w:p>
    <w:p w14:paraId="026F2FFA" w14:textId="3393ADD6" w:rsidR="00637CA5" w:rsidRPr="00637CA5" w:rsidRDefault="00B10863" w:rsidP="00637CA5">
      <w:pPr>
        <w:pStyle w:val="Default"/>
        <w:rPr>
          <w:rFonts w:asciiTheme="minorHAnsi" w:hAnsiTheme="minorHAnsi" w:cstheme="minorHAnsi"/>
        </w:rPr>
      </w:pPr>
      <w:r>
        <w:rPr>
          <w:rFonts w:asciiTheme="minorHAnsi" w:hAnsiTheme="minorHAnsi" w:cstheme="minorHAnsi"/>
        </w:rPr>
        <w:t xml:space="preserve">The local ombudsman will notify the State Ombudsman prior to </w:t>
      </w:r>
      <w:r w:rsidR="00B776C3">
        <w:rPr>
          <w:rFonts w:asciiTheme="minorHAnsi" w:hAnsiTheme="minorHAnsi" w:cstheme="minorHAnsi"/>
        </w:rPr>
        <w:t>returning</w:t>
      </w:r>
      <w:r>
        <w:rPr>
          <w:rFonts w:asciiTheme="minorHAnsi" w:hAnsiTheme="minorHAnsi" w:cstheme="minorHAnsi"/>
        </w:rPr>
        <w:t xml:space="preserve"> to work</w:t>
      </w:r>
      <w:r w:rsidR="00637CA5" w:rsidRPr="00637CA5">
        <w:rPr>
          <w:rFonts w:asciiTheme="minorHAnsi" w:hAnsiTheme="minorHAnsi" w:cstheme="minorHAnsi"/>
        </w:rPr>
        <w:t>.  Follow Area Agency protocol for returning to the workplace.</w:t>
      </w:r>
    </w:p>
    <w:p w14:paraId="7E9028FD" w14:textId="77777777" w:rsidR="00637CA5" w:rsidRPr="00637CA5" w:rsidRDefault="00637CA5" w:rsidP="00637CA5">
      <w:pPr>
        <w:rPr>
          <w:rFonts w:asciiTheme="minorHAnsi" w:hAnsiTheme="minorHAnsi" w:cstheme="minorHAnsi"/>
          <w:b/>
          <w:bCs/>
          <w:sz w:val="24"/>
          <w:szCs w:val="24"/>
        </w:rPr>
      </w:pPr>
    </w:p>
    <w:p w14:paraId="7B816154" w14:textId="1997D934" w:rsidR="00637CA5" w:rsidRPr="00637CA5" w:rsidRDefault="00B10863" w:rsidP="00637CA5">
      <w:pPr>
        <w:pStyle w:val="ListParagraph"/>
        <w:widowControl/>
        <w:numPr>
          <w:ilvl w:val="0"/>
          <w:numId w:val="10"/>
        </w:numPr>
        <w:autoSpaceDE/>
        <w:autoSpaceDN/>
        <w:spacing w:after="160" w:line="256" w:lineRule="auto"/>
        <w:contextualSpacing/>
        <w:rPr>
          <w:rFonts w:asciiTheme="minorHAnsi" w:hAnsiTheme="minorHAnsi" w:cstheme="minorHAnsi"/>
          <w:sz w:val="24"/>
          <w:szCs w:val="24"/>
        </w:rPr>
      </w:pPr>
      <w:r>
        <w:rPr>
          <w:rFonts w:asciiTheme="minorHAnsi" w:hAnsiTheme="minorHAnsi" w:cstheme="minorHAnsi"/>
          <w:sz w:val="24"/>
          <w:szCs w:val="24"/>
        </w:rPr>
        <w:t>Prior to doing any window/outdoor visits the ombudsman</w:t>
      </w:r>
      <w:r w:rsidR="00637CA5" w:rsidRPr="00637CA5">
        <w:rPr>
          <w:rFonts w:asciiTheme="minorHAnsi" w:hAnsiTheme="minorHAnsi" w:cstheme="minorHAnsi"/>
          <w:sz w:val="24"/>
          <w:szCs w:val="24"/>
        </w:rPr>
        <w:t xml:space="preserve"> will have completed the CDC/Health and Welfare scheduled train the trainer PPE training as required by the State Ombudsman Program.  Volunteers/assistant ombudsman will have been trained by their local ombudsman.</w:t>
      </w:r>
    </w:p>
    <w:p w14:paraId="2D7FC82E" w14:textId="77777777" w:rsidR="00637CA5" w:rsidRPr="00637CA5" w:rsidRDefault="00637CA5" w:rsidP="00637CA5">
      <w:pPr>
        <w:pStyle w:val="ListParagraph"/>
        <w:widowControl/>
        <w:numPr>
          <w:ilvl w:val="0"/>
          <w:numId w:val="10"/>
        </w:numPr>
        <w:autoSpaceDE/>
        <w:autoSpaceDN/>
        <w:spacing w:after="160" w:line="256" w:lineRule="auto"/>
        <w:contextualSpacing/>
        <w:rPr>
          <w:rFonts w:asciiTheme="minorHAnsi" w:hAnsiTheme="minorHAnsi" w:cstheme="minorHAnsi"/>
          <w:sz w:val="24"/>
          <w:szCs w:val="24"/>
        </w:rPr>
      </w:pPr>
      <w:r w:rsidRPr="00637CA5">
        <w:rPr>
          <w:rFonts w:asciiTheme="minorHAnsi" w:hAnsiTheme="minorHAnsi" w:cstheme="minorHAnsi"/>
          <w:sz w:val="24"/>
          <w:szCs w:val="24"/>
        </w:rPr>
        <w:lastRenderedPageBreak/>
        <w:t>Have PPE to safely perform their responsibilities to provide the maximum safety for the ombudsman, resident and staff.  For window and outdoor visits, the requirement will be at a minimum cloth face coverings or surgical masks.  (Remember these masks are to prevent the spread and not to protect you from acquiring COVID 19).   Social distancing and appropriate standard precautions will be a necessity for your safety and wellbeing.</w:t>
      </w:r>
    </w:p>
    <w:p w14:paraId="1A2F5F82" w14:textId="77777777" w:rsidR="00637CA5" w:rsidRPr="00637CA5" w:rsidRDefault="00637CA5" w:rsidP="00637CA5">
      <w:pPr>
        <w:pStyle w:val="ListParagraph"/>
        <w:widowControl/>
        <w:numPr>
          <w:ilvl w:val="0"/>
          <w:numId w:val="10"/>
        </w:numPr>
        <w:autoSpaceDE/>
        <w:autoSpaceDN/>
        <w:spacing w:after="160" w:line="256" w:lineRule="auto"/>
        <w:contextualSpacing/>
        <w:rPr>
          <w:rFonts w:asciiTheme="minorHAnsi" w:hAnsiTheme="minorHAnsi" w:cstheme="minorHAnsi"/>
          <w:sz w:val="24"/>
          <w:szCs w:val="24"/>
        </w:rPr>
      </w:pPr>
      <w:r w:rsidRPr="00637CA5">
        <w:rPr>
          <w:rFonts w:asciiTheme="minorHAnsi" w:hAnsiTheme="minorHAnsi" w:cstheme="minorHAnsi"/>
          <w:sz w:val="24"/>
          <w:szCs w:val="24"/>
        </w:rPr>
        <w:t xml:space="preserve"> Don their face masks upon leaving their vehicle, always sanitize and maintain 6-foot social distancing.</w:t>
      </w:r>
    </w:p>
    <w:p w14:paraId="266FCD0E" w14:textId="77777777" w:rsidR="00637CA5" w:rsidRPr="00637CA5" w:rsidRDefault="00637CA5" w:rsidP="00637CA5">
      <w:pPr>
        <w:pStyle w:val="ListParagraph"/>
        <w:widowControl/>
        <w:numPr>
          <w:ilvl w:val="0"/>
          <w:numId w:val="10"/>
        </w:numPr>
        <w:autoSpaceDE/>
        <w:autoSpaceDN/>
        <w:spacing w:after="160" w:line="256" w:lineRule="auto"/>
        <w:contextualSpacing/>
        <w:rPr>
          <w:rFonts w:asciiTheme="minorHAnsi" w:hAnsiTheme="minorHAnsi" w:cstheme="minorHAnsi"/>
          <w:sz w:val="24"/>
          <w:szCs w:val="24"/>
        </w:rPr>
      </w:pPr>
      <w:r w:rsidRPr="00637CA5">
        <w:rPr>
          <w:rFonts w:asciiTheme="minorHAnsi" w:hAnsiTheme="minorHAnsi" w:cstheme="minorHAnsi"/>
          <w:sz w:val="24"/>
          <w:szCs w:val="24"/>
        </w:rPr>
        <w:t>Appropriately Doffing their PPE and hand sanitizing prior to entering their vehicles.</w:t>
      </w:r>
    </w:p>
    <w:p w14:paraId="2A1A48DC" w14:textId="24C5F556" w:rsidR="00637CA5" w:rsidRPr="00637CA5" w:rsidRDefault="00637CA5" w:rsidP="00637CA5">
      <w:pPr>
        <w:rPr>
          <w:rFonts w:asciiTheme="minorHAnsi" w:hAnsiTheme="minorHAnsi" w:cstheme="minorHAnsi"/>
          <w:b/>
          <w:bCs/>
          <w:sz w:val="24"/>
          <w:szCs w:val="24"/>
        </w:rPr>
      </w:pPr>
      <w:r w:rsidRPr="00637CA5">
        <w:rPr>
          <w:rFonts w:asciiTheme="minorHAnsi" w:hAnsiTheme="minorHAnsi" w:cstheme="minorHAnsi"/>
          <w:b/>
          <w:bCs/>
          <w:sz w:val="24"/>
          <w:szCs w:val="24"/>
        </w:rPr>
        <w:t xml:space="preserve">In preparation for a facility </w:t>
      </w:r>
      <w:r w:rsidR="00563B29">
        <w:rPr>
          <w:rFonts w:asciiTheme="minorHAnsi" w:hAnsiTheme="minorHAnsi" w:cstheme="minorHAnsi"/>
          <w:b/>
          <w:bCs/>
          <w:sz w:val="24"/>
          <w:szCs w:val="24"/>
        </w:rPr>
        <w:t xml:space="preserve">window/outdoor </w:t>
      </w:r>
      <w:r w:rsidRPr="00637CA5">
        <w:rPr>
          <w:rFonts w:asciiTheme="minorHAnsi" w:hAnsiTheme="minorHAnsi" w:cstheme="minorHAnsi"/>
          <w:b/>
          <w:bCs/>
          <w:sz w:val="24"/>
          <w:szCs w:val="24"/>
        </w:rPr>
        <w:t xml:space="preserve">visit </w:t>
      </w:r>
    </w:p>
    <w:p w14:paraId="4D69F14B" w14:textId="77777777" w:rsidR="00637CA5" w:rsidRPr="00637CA5" w:rsidRDefault="00637CA5" w:rsidP="00637CA5">
      <w:pPr>
        <w:rPr>
          <w:rFonts w:asciiTheme="minorHAnsi" w:hAnsiTheme="minorHAnsi" w:cstheme="minorHAnsi"/>
          <w:sz w:val="24"/>
          <w:szCs w:val="24"/>
        </w:rPr>
      </w:pPr>
    </w:p>
    <w:p w14:paraId="745AAE1F" w14:textId="77777777" w:rsidR="00637CA5" w:rsidRPr="00637CA5" w:rsidRDefault="00637CA5" w:rsidP="00637CA5">
      <w:pPr>
        <w:rPr>
          <w:rFonts w:asciiTheme="minorHAnsi" w:hAnsiTheme="minorHAnsi" w:cstheme="minorHAnsi"/>
          <w:sz w:val="24"/>
          <w:szCs w:val="24"/>
        </w:rPr>
      </w:pPr>
      <w:r w:rsidRPr="00637CA5">
        <w:rPr>
          <w:rFonts w:asciiTheme="minorHAnsi" w:hAnsiTheme="minorHAnsi" w:cstheme="minorHAnsi"/>
          <w:sz w:val="24"/>
          <w:szCs w:val="24"/>
        </w:rPr>
        <w:t xml:space="preserve">Make inquires, with all licensed facilities within the region, as to each facility’s process for visitation. A great deal of latitude has been given to facilities as to how they may manage visits with residents. </w:t>
      </w:r>
    </w:p>
    <w:p w14:paraId="55D6E055" w14:textId="77777777" w:rsidR="00637CA5" w:rsidRPr="00637CA5" w:rsidRDefault="00637CA5" w:rsidP="00637CA5">
      <w:pPr>
        <w:rPr>
          <w:rFonts w:asciiTheme="minorHAnsi" w:hAnsiTheme="minorHAnsi" w:cstheme="minorHAnsi"/>
          <w:sz w:val="24"/>
          <w:szCs w:val="24"/>
        </w:rPr>
      </w:pPr>
    </w:p>
    <w:p w14:paraId="2F690D7F" w14:textId="01CC1C74" w:rsidR="00637CA5" w:rsidRPr="00637CA5" w:rsidRDefault="00637CA5" w:rsidP="00637CA5">
      <w:pPr>
        <w:rPr>
          <w:rFonts w:asciiTheme="minorHAnsi" w:hAnsiTheme="minorHAnsi" w:cstheme="minorHAnsi"/>
          <w:sz w:val="24"/>
          <w:szCs w:val="24"/>
        </w:rPr>
      </w:pPr>
      <w:r w:rsidRPr="00637CA5">
        <w:rPr>
          <w:rFonts w:asciiTheme="minorHAnsi" w:hAnsiTheme="minorHAnsi" w:cstheme="minorHAnsi"/>
          <w:sz w:val="24"/>
          <w:szCs w:val="24"/>
        </w:rPr>
        <w:t xml:space="preserve"> Window visits may not be practical at every facility. Consideration needs to be given to the layout of the facility as well as the cognitive ability of the residents.   Visits can only be made to the portion of the census that is on </w:t>
      </w:r>
      <w:r w:rsidR="004A34E5">
        <w:rPr>
          <w:rFonts w:asciiTheme="minorHAnsi" w:hAnsiTheme="minorHAnsi" w:cstheme="minorHAnsi"/>
          <w:sz w:val="24"/>
          <w:szCs w:val="24"/>
        </w:rPr>
        <w:t xml:space="preserve">the </w:t>
      </w:r>
      <w:r w:rsidRPr="00637CA5">
        <w:rPr>
          <w:rFonts w:asciiTheme="minorHAnsi" w:hAnsiTheme="minorHAnsi" w:cstheme="minorHAnsi"/>
          <w:sz w:val="24"/>
          <w:szCs w:val="24"/>
        </w:rPr>
        <w:t>window sides of the facility and there is no access to residents who do not reside on main floors of the facility.</w:t>
      </w:r>
    </w:p>
    <w:p w14:paraId="6C379B33" w14:textId="77777777" w:rsidR="00637CA5" w:rsidRPr="00637CA5" w:rsidRDefault="00637CA5" w:rsidP="00637CA5">
      <w:pPr>
        <w:rPr>
          <w:rFonts w:asciiTheme="minorHAnsi" w:hAnsiTheme="minorHAnsi" w:cstheme="minorHAnsi"/>
          <w:sz w:val="24"/>
          <w:szCs w:val="24"/>
        </w:rPr>
      </w:pPr>
    </w:p>
    <w:p w14:paraId="2C49DA1B" w14:textId="559E57DD" w:rsidR="00637CA5" w:rsidRPr="00637CA5" w:rsidRDefault="00637CA5" w:rsidP="00637CA5">
      <w:pPr>
        <w:rPr>
          <w:rFonts w:asciiTheme="minorHAnsi" w:hAnsiTheme="minorHAnsi" w:cstheme="minorHAnsi"/>
          <w:sz w:val="24"/>
          <w:szCs w:val="24"/>
        </w:rPr>
      </w:pPr>
      <w:r w:rsidRPr="00637CA5">
        <w:rPr>
          <w:rFonts w:asciiTheme="minorHAnsi" w:hAnsiTheme="minorHAnsi" w:cstheme="minorHAnsi"/>
          <w:sz w:val="24"/>
          <w:szCs w:val="24"/>
        </w:rPr>
        <w:t xml:space="preserve"> A facility may feel the need to screen all visitors to their property including taking temperatures. If requested, the Ombudsman should cooperate with this screening. If the Ombudsman has any concerns, they should reach out to their State </w:t>
      </w:r>
      <w:r w:rsidR="008E525A">
        <w:rPr>
          <w:rFonts w:asciiTheme="minorHAnsi" w:hAnsiTheme="minorHAnsi" w:cstheme="minorHAnsi"/>
          <w:sz w:val="24"/>
          <w:szCs w:val="24"/>
        </w:rPr>
        <w:t>Ombudsman.</w:t>
      </w:r>
    </w:p>
    <w:p w14:paraId="28410AE9" w14:textId="77777777" w:rsidR="00637CA5" w:rsidRPr="00637CA5" w:rsidRDefault="00637CA5" w:rsidP="00637CA5">
      <w:pPr>
        <w:rPr>
          <w:rFonts w:asciiTheme="minorHAnsi" w:hAnsiTheme="minorHAnsi" w:cstheme="minorHAnsi"/>
          <w:sz w:val="24"/>
          <w:szCs w:val="24"/>
        </w:rPr>
      </w:pPr>
    </w:p>
    <w:p w14:paraId="624C62F6" w14:textId="77777777" w:rsidR="00637CA5" w:rsidRPr="00637CA5" w:rsidRDefault="00637CA5" w:rsidP="00637CA5">
      <w:pPr>
        <w:pStyle w:val="Default"/>
        <w:rPr>
          <w:rFonts w:asciiTheme="minorHAnsi" w:hAnsiTheme="minorHAnsi" w:cstheme="minorHAnsi"/>
          <w:b/>
          <w:bCs/>
        </w:rPr>
      </w:pPr>
      <w:r w:rsidRPr="00637CA5">
        <w:rPr>
          <w:rFonts w:asciiTheme="minorHAnsi" w:hAnsiTheme="minorHAnsi" w:cstheme="minorHAnsi"/>
          <w:b/>
          <w:bCs/>
        </w:rPr>
        <w:t xml:space="preserve">When a facility is open to in-person visits. </w:t>
      </w:r>
    </w:p>
    <w:p w14:paraId="277D5ACD" w14:textId="77777777" w:rsidR="00637CA5" w:rsidRPr="00637CA5" w:rsidRDefault="00637CA5" w:rsidP="00637CA5">
      <w:pPr>
        <w:pStyle w:val="Default"/>
        <w:rPr>
          <w:rFonts w:asciiTheme="minorHAnsi" w:hAnsiTheme="minorHAnsi" w:cstheme="minorHAnsi"/>
          <w:b/>
          <w:bCs/>
        </w:rPr>
      </w:pPr>
    </w:p>
    <w:p w14:paraId="0F111F60" w14:textId="77777777" w:rsidR="00637CA5" w:rsidRPr="00637CA5" w:rsidRDefault="00637CA5" w:rsidP="00637CA5">
      <w:pPr>
        <w:pStyle w:val="Default"/>
        <w:rPr>
          <w:rFonts w:asciiTheme="minorHAnsi" w:hAnsiTheme="minorHAnsi" w:cstheme="minorHAnsi"/>
        </w:rPr>
      </w:pPr>
      <w:r w:rsidRPr="00637CA5">
        <w:rPr>
          <w:rFonts w:asciiTheme="minorHAnsi" w:hAnsiTheme="minorHAnsi" w:cstheme="minorHAnsi"/>
          <w:b/>
          <w:bCs/>
        </w:rPr>
        <w:t>Lobby Visits</w:t>
      </w:r>
      <w:r w:rsidRPr="00637CA5">
        <w:rPr>
          <w:rFonts w:asciiTheme="minorHAnsi" w:hAnsiTheme="minorHAnsi" w:cstheme="minorHAnsi"/>
        </w:rPr>
        <w:t xml:space="preserve"> </w:t>
      </w:r>
    </w:p>
    <w:p w14:paraId="1EED627F" w14:textId="77777777" w:rsidR="00637CA5" w:rsidRPr="00637CA5" w:rsidRDefault="00637CA5" w:rsidP="00637CA5">
      <w:pPr>
        <w:pStyle w:val="Default"/>
        <w:rPr>
          <w:rFonts w:asciiTheme="minorHAnsi" w:hAnsiTheme="minorHAnsi" w:cstheme="minorHAnsi"/>
        </w:rPr>
      </w:pPr>
      <w:r w:rsidRPr="00637CA5">
        <w:rPr>
          <w:rFonts w:asciiTheme="minorHAnsi" w:hAnsiTheme="minorHAnsi" w:cstheme="minorHAnsi"/>
        </w:rPr>
        <w:t xml:space="preserve">Some facilities may ask Ombudsmen to sit inside the lobby to meet with residents. Currently, this is not an approved visit method by the Office. We anticipate this will change as we move into the next phase of visitation, but it is not allowed at this time. </w:t>
      </w:r>
    </w:p>
    <w:p w14:paraId="13E85398" w14:textId="77777777" w:rsidR="00637CA5" w:rsidRPr="00637CA5" w:rsidRDefault="00637CA5" w:rsidP="00637CA5">
      <w:pPr>
        <w:pStyle w:val="Default"/>
        <w:rPr>
          <w:rFonts w:asciiTheme="minorHAnsi" w:hAnsiTheme="minorHAnsi" w:cstheme="minorHAnsi"/>
        </w:rPr>
      </w:pPr>
    </w:p>
    <w:p w14:paraId="52DB9D33" w14:textId="77777777" w:rsidR="00637CA5" w:rsidRPr="00637CA5" w:rsidRDefault="00637CA5" w:rsidP="00637CA5">
      <w:pPr>
        <w:pStyle w:val="Default"/>
        <w:rPr>
          <w:rFonts w:asciiTheme="minorHAnsi" w:hAnsiTheme="minorHAnsi" w:cstheme="minorHAnsi"/>
          <w:b/>
          <w:bCs/>
        </w:rPr>
      </w:pPr>
      <w:r w:rsidRPr="00637CA5">
        <w:rPr>
          <w:rFonts w:asciiTheme="minorHAnsi" w:hAnsiTheme="minorHAnsi" w:cstheme="minorHAnsi"/>
          <w:b/>
          <w:bCs/>
        </w:rPr>
        <w:t xml:space="preserve">Outdoor Visits </w:t>
      </w:r>
    </w:p>
    <w:p w14:paraId="4E2A8318" w14:textId="77777777" w:rsidR="00637CA5" w:rsidRPr="00637CA5" w:rsidRDefault="00637CA5" w:rsidP="00637CA5">
      <w:pPr>
        <w:pStyle w:val="Default"/>
        <w:rPr>
          <w:rFonts w:asciiTheme="minorHAnsi" w:hAnsiTheme="minorHAnsi" w:cstheme="minorHAnsi"/>
        </w:rPr>
      </w:pPr>
      <w:r w:rsidRPr="00637CA5">
        <w:rPr>
          <w:rFonts w:asciiTheme="minorHAnsi" w:hAnsiTheme="minorHAnsi" w:cstheme="minorHAnsi"/>
        </w:rPr>
        <w:t xml:space="preserve">Some facilities may allow the Ombudsman to conduct visits in an outdoor courtyard. This is allowable when the Ombudsman follows social distancing guidelines: </w:t>
      </w:r>
    </w:p>
    <w:p w14:paraId="4FF41A31" w14:textId="77777777" w:rsidR="00637CA5" w:rsidRPr="00637CA5" w:rsidRDefault="00637CA5" w:rsidP="00637CA5">
      <w:pPr>
        <w:pStyle w:val="Default"/>
        <w:numPr>
          <w:ilvl w:val="0"/>
          <w:numId w:val="11"/>
        </w:numPr>
        <w:rPr>
          <w:rFonts w:asciiTheme="minorHAnsi" w:hAnsiTheme="minorHAnsi" w:cstheme="minorHAnsi"/>
        </w:rPr>
      </w:pPr>
      <w:r w:rsidRPr="00637CA5">
        <w:rPr>
          <w:rFonts w:asciiTheme="minorHAnsi" w:hAnsiTheme="minorHAnsi" w:cstheme="minorHAnsi"/>
        </w:rPr>
        <w:t xml:space="preserve">The Ombudsman must maintain a minimum of 6 feet distance from all individuals. </w:t>
      </w:r>
    </w:p>
    <w:p w14:paraId="629DA7E9" w14:textId="0C733543" w:rsidR="00637CA5" w:rsidRPr="00637CA5" w:rsidRDefault="00637CA5" w:rsidP="00637CA5">
      <w:pPr>
        <w:pStyle w:val="Default"/>
        <w:numPr>
          <w:ilvl w:val="0"/>
          <w:numId w:val="11"/>
        </w:numPr>
        <w:rPr>
          <w:rFonts w:asciiTheme="minorHAnsi" w:hAnsiTheme="minorHAnsi" w:cstheme="minorHAnsi"/>
        </w:rPr>
      </w:pPr>
      <w:r w:rsidRPr="00637CA5">
        <w:rPr>
          <w:rFonts w:asciiTheme="minorHAnsi" w:hAnsiTheme="minorHAnsi" w:cstheme="minorHAnsi"/>
        </w:rPr>
        <w:t xml:space="preserve">The Ombudsman should wear a </w:t>
      </w:r>
      <w:r w:rsidR="00326512">
        <w:rPr>
          <w:rFonts w:asciiTheme="minorHAnsi" w:hAnsiTheme="minorHAnsi" w:cstheme="minorHAnsi"/>
        </w:rPr>
        <w:t>cloth face covering/</w:t>
      </w:r>
      <w:r w:rsidRPr="00637CA5">
        <w:rPr>
          <w:rFonts w:asciiTheme="minorHAnsi" w:hAnsiTheme="minorHAnsi" w:cstheme="minorHAnsi"/>
        </w:rPr>
        <w:t xml:space="preserve">mask during the visit and use hand sanitizer as appropriate. </w:t>
      </w:r>
    </w:p>
    <w:p w14:paraId="553F74E1" w14:textId="77777777" w:rsidR="00637CA5" w:rsidRPr="00637CA5" w:rsidRDefault="00637CA5" w:rsidP="00637CA5">
      <w:pPr>
        <w:pStyle w:val="Default"/>
        <w:rPr>
          <w:rFonts w:asciiTheme="minorHAnsi" w:hAnsiTheme="minorHAnsi" w:cstheme="minorHAnsi"/>
        </w:rPr>
      </w:pPr>
    </w:p>
    <w:p w14:paraId="7E73B067" w14:textId="77777777" w:rsidR="00637CA5" w:rsidRPr="00637CA5" w:rsidRDefault="00637CA5" w:rsidP="00637CA5">
      <w:pPr>
        <w:pStyle w:val="Default"/>
        <w:rPr>
          <w:rFonts w:asciiTheme="minorHAnsi" w:hAnsiTheme="minorHAnsi" w:cstheme="minorHAnsi"/>
        </w:rPr>
      </w:pPr>
      <w:r w:rsidRPr="00637CA5">
        <w:rPr>
          <w:rFonts w:asciiTheme="minorHAnsi" w:hAnsiTheme="minorHAnsi" w:cstheme="minorHAnsi"/>
          <w:b/>
          <w:bCs/>
        </w:rPr>
        <w:t xml:space="preserve">Documentation of your activity  </w:t>
      </w:r>
    </w:p>
    <w:p w14:paraId="3743695D" w14:textId="77777777" w:rsidR="00637CA5" w:rsidRPr="00637CA5" w:rsidRDefault="00637CA5" w:rsidP="00637CA5">
      <w:pPr>
        <w:pStyle w:val="Default"/>
        <w:spacing w:after="37"/>
        <w:rPr>
          <w:rFonts w:asciiTheme="minorHAnsi" w:hAnsiTheme="minorHAnsi" w:cstheme="minorHAnsi"/>
        </w:rPr>
      </w:pPr>
      <w:r w:rsidRPr="00637CA5">
        <w:rPr>
          <w:rFonts w:asciiTheme="minorHAnsi" w:hAnsiTheme="minorHAnsi" w:cstheme="minorHAnsi"/>
        </w:rPr>
        <w:t xml:space="preserve">1. Enter the visit in Get Care as a “Window/Outdoor Visit” under the topics section of the activities. Enter all pertinent sections in a similar manner that Routine Visit entries are made. </w:t>
      </w:r>
    </w:p>
    <w:p w14:paraId="302DD7B3" w14:textId="77777777" w:rsidR="00637CA5" w:rsidRPr="00637CA5" w:rsidRDefault="00637CA5" w:rsidP="00637CA5">
      <w:pPr>
        <w:pStyle w:val="Default"/>
        <w:spacing w:after="37"/>
        <w:rPr>
          <w:rFonts w:asciiTheme="minorHAnsi" w:hAnsiTheme="minorHAnsi" w:cstheme="minorHAnsi"/>
        </w:rPr>
      </w:pPr>
      <w:r w:rsidRPr="00637CA5">
        <w:rPr>
          <w:rFonts w:asciiTheme="minorHAnsi" w:hAnsiTheme="minorHAnsi" w:cstheme="minorHAnsi"/>
        </w:rPr>
        <w:t xml:space="preserve">2. In addition, if posters/flyers/postcards were delivered, enter “Distributed Posters/Postcards/Flyers” in the topics section of the activity. </w:t>
      </w:r>
    </w:p>
    <w:p w14:paraId="69B8A95E" w14:textId="77777777" w:rsidR="00637CA5" w:rsidRPr="00637CA5" w:rsidRDefault="00637CA5" w:rsidP="00637CA5">
      <w:pPr>
        <w:pStyle w:val="Default"/>
        <w:rPr>
          <w:rFonts w:asciiTheme="minorHAnsi" w:hAnsiTheme="minorHAnsi" w:cstheme="minorHAnsi"/>
        </w:rPr>
      </w:pPr>
      <w:r w:rsidRPr="00637CA5">
        <w:rPr>
          <w:rFonts w:asciiTheme="minorHAnsi" w:hAnsiTheme="minorHAnsi" w:cstheme="minorHAnsi"/>
        </w:rPr>
        <w:t xml:space="preserve">3. If I&amp;A to Individuals or to Staff were conducted, enter those activities as a separate activity. </w:t>
      </w:r>
    </w:p>
    <w:p w14:paraId="55986F9B" w14:textId="74328775" w:rsidR="007E28D4" w:rsidRPr="007E28D4" w:rsidRDefault="007E28D4" w:rsidP="00637CA5">
      <w:pPr>
        <w:pStyle w:val="Heading1"/>
        <w:spacing w:before="243"/>
        <w:ind w:left="0" w:right="316"/>
        <w:rPr>
          <w:rFonts w:asciiTheme="minorHAnsi" w:hAnsiTheme="minorHAnsi" w:cstheme="minorHAnsi"/>
        </w:rPr>
      </w:pPr>
    </w:p>
    <w:sectPr w:rsidR="007E28D4" w:rsidRPr="007E28D4">
      <w:footerReference w:type="default" r:id="rId9"/>
      <w:type w:val="continuous"/>
      <w:pgSz w:w="12240" w:h="15840"/>
      <w:pgMar w:top="700" w:right="13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0F34" w14:textId="77777777" w:rsidR="00316034" w:rsidRDefault="00316034" w:rsidP="002835F5">
      <w:r>
        <w:separator/>
      </w:r>
    </w:p>
  </w:endnote>
  <w:endnote w:type="continuationSeparator" w:id="0">
    <w:p w14:paraId="273DDA62" w14:textId="77777777" w:rsidR="00316034" w:rsidRDefault="00316034" w:rsidP="0028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0EF1" w14:textId="77777777" w:rsidR="00637CA5" w:rsidRDefault="00637CA5" w:rsidP="00637CA5">
    <w:pPr>
      <w:pStyle w:val="Footer"/>
      <w:rPr>
        <w:sz w:val="32"/>
        <w:u w:val="double" w:color="632423" w:themeColor="accent2" w:themeShade="80"/>
      </w:rPr>
    </w:pPr>
    <w:r w:rsidRPr="000B52ED">
      <w:rPr>
        <w:sz w:val="32"/>
        <w:u w:val="double" w:color="632423" w:themeColor="accent2" w:themeShade="80"/>
      </w:rPr>
      <w:tab/>
    </w:r>
    <w:r w:rsidRPr="000B52ED">
      <w:rPr>
        <w:sz w:val="32"/>
        <w:u w:val="double" w:color="632423" w:themeColor="accent2" w:themeShade="80"/>
      </w:rPr>
      <w:tab/>
    </w:r>
  </w:p>
  <w:p w14:paraId="4D524DF7" w14:textId="70F8BFC3" w:rsidR="00637CA5" w:rsidRDefault="00637CA5">
    <w:pPr>
      <w:pStyle w:val="Footer"/>
    </w:pPr>
    <w:r>
      <w:t>Window and Outdoor Visitation to LTC Facilities Guidance: 07/01/2020</w:t>
    </w:r>
  </w:p>
  <w:p w14:paraId="3B4FE02D" w14:textId="77777777" w:rsidR="002835F5" w:rsidRDefault="0028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C6D6" w14:textId="77777777" w:rsidR="00316034" w:rsidRDefault="00316034" w:rsidP="002835F5">
      <w:r>
        <w:separator/>
      </w:r>
    </w:p>
  </w:footnote>
  <w:footnote w:type="continuationSeparator" w:id="0">
    <w:p w14:paraId="02885C2C" w14:textId="77777777" w:rsidR="00316034" w:rsidRDefault="00316034" w:rsidP="0028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4F3"/>
    <w:multiLevelType w:val="hybridMultilevel"/>
    <w:tmpl w:val="9F68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1F6C"/>
    <w:multiLevelType w:val="hybridMultilevel"/>
    <w:tmpl w:val="EC7E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16D0C"/>
    <w:multiLevelType w:val="hybridMultilevel"/>
    <w:tmpl w:val="6E4A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52393"/>
    <w:multiLevelType w:val="multilevel"/>
    <w:tmpl w:val="CBC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14CBA"/>
    <w:multiLevelType w:val="multilevel"/>
    <w:tmpl w:val="6A244C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A64BF"/>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16521F"/>
    <w:multiLevelType w:val="hybridMultilevel"/>
    <w:tmpl w:val="6CF2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52454"/>
    <w:multiLevelType w:val="hybridMultilevel"/>
    <w:tmpl w:val="30F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37D7E"/>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F402CB"/>
    <w:multiLevelType w:val="hybridMultilevel"/>
    <w:tmpl w:val="88D496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0900BD"/>
    <w:multiLevelType w:val="multilevel"/>
    <w:tmpl w:val="DC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8"/>
  </w:num>
  <w:num w:numId="4">
    <w:abstractNumId w:val="5"/>
  </w:num>
  <w:num w:numId="5">
    <w:abstractNumId w:val="9"/>
  </w:num>
  <w:num w:numId="6">
    <w:abstractNumId w:val="4"/>
  </w:num>
  <w:num w:numId="7">
    <w:abstractNumId w:val="2"/>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D2"/>
    <w:rsid w:val="00005D7B"/>
    <w:rsid w:val="0002392F"/>
    <w:rsid w:val="000313C0"/>
    <w:rsid w:val="00040597"/>
    <w:rsid w:val="000706CC"/>
    <w:rsid w:val="0008665A"/>
    <w:rsid w:val="000B1F30"/>
    <w:rsid w:val="000B34E6"/>
    <w:rsid w:val="000C2345"/>
    <w:rsid w:val="000D1E3B"/>
    <w:rsid w:val="00102D65"/>
    <w:rsid w:val="00103B1E"/>
    <w:rsid w:val="00113C01"/>
    <w:rsid w:val="001336CD"/>
    <w:rsid w:val="001647B0"/>
    <w:rsid w:val="00164D45"/>
    <w:rsid w:val="00181B80"/>
    <w:rsid w:val="00185807"/>
    <w:rsid w:val="001973CF"/>
    <w:rsid w:val="001B2EE7"/>
    <w:rsid w:val="001C3560"/>
    <w:rsid w:val="001F2561"/>
    <w:rsid w:val="001F7DF2"/>
    <w:rsid w:val="00236C25"/>
    <w:rsid w:val="0026690B"/>
    <w:rsid w:val="00281F8B"/>
    <w:rsid w:val="002835F5"/>
    <w:rsid w:val="00294026"/>
    <w:rsid w:val="003000C6"/>
    <w:rsid w:val="003112B9"/>
    <w:rsid w:val="00316034"/>
    <w:rsid w:val="00326512"/>
    <w:rsid w:val="0034149A"/>
    <w:rsid w:val="0035147B"/>
    <w:rsid w:val="00356CE8"/>
    <w:rsid w:val="00365780"/>
    <w:rsid w:val="003A34DF"/>
    <w:rsid w:val="003A359D"/>
    <w:rsid w:val="003C3A34"/>
    <w:rsid w:val="003D7F5D"/>
    <w:rsid w:val="004261C8"/>
    <w:rsid w:val="00492608"/>
    <w:rsid w:val="004A0944"/>
    <w:rsid w:val="004A1477"/>
    <w:rsid w:val="004A34E5"/>
    <w:rsid w:val="004C5582"/>
    <w:rsid w:val="004C6E52"/>
    <w:rsid w:val="00517EDD"/>
    <w:rsid w:val="0053143A"/>
    <w:rsid w:val="0053613A"/>
    <w:rsid w:val="0055211E"/>
    <w:rsid w:val="00563B29"/>
    <w:rsid w:val="005B2E98"/>
    <w:rsid w:val="005C0ACE"/>
    <w:rsid w:val="005D5596"/>
    <w:rsid w:val="005E3942"/>
    <w:rsid w:val="00621813"/>
    <w:rsid w:val="00623C6E"/>
    <w:rsid w:val="00637CA5"/>
    <w:rsid w:val="00644A56"/>
    <w:rsid w:val="00690417"/>
    <w:rsid w:val="00690F6B"/>
    <w:rsid w:val="00691EE4"/>
    <w:rsid w:val="006A78B7"/>
    <w:rsid w:val="006F4CDF"/>
    <w:rsid w:val="006F5AFC"/>
    <w:rsid w:val="00726AFE"/>
    <w:rsid w:val="00774D84"/>
    <w:rsid w:val="00777DA0"/>
    <w:rsid w:val="0078676C"/>
    <w:rsid w:val="007E28D4"/>
    <w:rsid w:val="007E2A2F"/>
    <w:rsid w:val="00816F42"/>
    <w:rsid w:val="00840392"/>
    <w:rsid w:val="008C0776"/>
    <w:rsid w:val="008D01DA"/>
    <w:rsid w:val="008E525A"/>
    <w:rsid w:val="009314CD"/>
    <w:rsid w:val="00935AFD"/>
    <w:rsid w:val="00960056"/>
    <w:rsid w:val="009715CB"/>
    <w:rsid w:val="0097584D"/>
    <w:rsid w:val="0098495F"/>
    <w:rsid w:val="00986710"/>
    <w:rsid w:val="00994007"/>
    <w:rsid w:val="0099598A"/>
    <w:rsid w:val="009A0FB2"/>
    <w:rsid w:val="009A43CF"/>
    <w:rsid w:val="009C762A"/>
    <w:rsid w:val="009E12C0"/>
    <w:rsid w:val="009F6E6B"/>
    <w:rsid w:val="00A258E9"/>
    <w:rsid w:val="00A756E2"/>
    <w:rsid w:val="00A8491A"/>
    <w:rsid w:val="00AD7E24"/>
    <w:rsid w:val="00AF6611"/>
    <w:rsid w:val="00B10863"/>
    <w:rsid w:val="00B64F23"/>
    <w:rsid w:val="00B776C3"/>
    <w:rsid w:val="00BE61D9"/>
    <w:rsid w:val="00C5415A"/>
    <w:rsid w:val="00C96C2E"/>
    <w:rsid w:val="00D14FD2"/>
    <w:rsid w:val="00D524D0"/>
    <w:rsid w:val="00D53182"/>
    <w:rsid w:val="00D72FF7"/>
    <w:rsid w:val="00DB401C"/>
    <w:rsid w:val="00DC0158"/>
    <w:rsid w:val="00DE267D"/>
    <w:rsid w:val="00E527D4"/>
    <w:rsid w:val="00E77F7A"/>
    <w:rsid w:val="00ED5366"/>
    <w:rsid w:val="00F01D1B"/>
    <w:rsid w:val="00F133C1"/>
    <w:rsid w:val="00F23F9D"/>
    <w:rsid w:val="00F31D63"/>
    <w:rsid w:val="00F36E29"/>
    <w:rsid w:val="00F462A3"/>
    <w:rsid w:val="00F71E23"/>
    <w:rsid w:val="00FA52DD"/>
    <w:rsid w:val="00FB6D77"/>
    <w:rsid w:val="00FC2E17"/>
    <w:rsid w:val="00FE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683D"/>
  <w15:docId w15:val="{7CE2DBB9-F78E-44A5-A833-CF4901BE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682" w:right="442"/>
      <w:jc w:val="center"/>
    </w:pPr>
  </w:style>
  <w:style w:type="paragraph" w:customStyle="1" w:styleId="xmsonormal">
    <w:name w:val="x_msonormal"/>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listparagraph">
    <w:name w:val="x_msolistparagraph"/>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835F5"/>
    <w:pPr>
      <w:tabs>
        <w:tab w:val="center" w:pos="4680"/>
        <w:tab w:val="right" w:pos="9360"/>
      </w:tabs>
    </w:pPr>
  </w:style>
  <w:style w:type="character" w:customStyle="1" w:styleId="HeaderChar">
    <w:name w:val="Header Char"/>
    <w:basedOn w:val="DefaultParagraphFont"/>
    <w:link w:val="Header"/>
    <w:uiPriority w:val="99"/>
    <w:rsid w:val="002835F5"/>
    <w:rPr>
      <w:rFonts w:ascii="Calibri" w:eastAsia="Calibri" w:hAnsi="Calibri" w:cs="Calibri"/>
      <w:lang w:bidi="en-US"/>
    </w:rPr>
  </w:style>
  <w:style w:type="paragraph" w:styleId="Footer">
    <w:name w:val="footer"/>
    <w:basedOn w:val="Normal"/>
    <w:link w:val="FooterChar"/>
    <w:uiPriority w:val="99"/>
    <w:unhideWhenUsed/>
    <w:rsid w:val="002835F5"/>
    <w:pPr>
      <w:tabs>
        <w:tab w:val="center" w:pos="4680"/>
        <w:tab w:val="right" w:pos="9360"/>
      </w:tabs>
    </w:pPr>
  </w:style>
  <w:style w:type="character" w:customStyle="1" w:styleId="FooterChar">
    <w:name w:val="Footer Char"/>
    <w:basedOn w:val="DefaultParagraphFont"/>
    <w:link w:val="Footer"/>
    <w:uiPriority w:val="99"/>
    <w:rsid w:val="002835F5"/>
    <w:rPr>
      <w:rFonts w:ascii="Calibri" w:eastAsia="Calibri" w:hAnsi="Calibri" w:cs="Calibri"/>
      <w:lang w:bidi="en-US"/>
    </w:rPr>
  </w:style>
  <w:style w:type="character" w:styleId="CommentReference">
    <w:name w:val="annotation reference"/>
    <w:basedOn w:val="DefaultParagraphFont"/>
    <w:uiPriority w:val="99"/>
    <w:semiHidden/>
    <w:unhideWhenUsed/>
    <w:rsid w:val="009A0FB2"/>
    <w:rPr>
      <w:sz w:val="16"/>
      <w:szCs w:val="16"/>
    </w:rPr>
  </w:style>
  <w:style w:type="paragraph" w:styleId="CommentText">
    <w:name w:val="annotation text"/>
    <w:basedOn w:val="Normal"/>
    <w:link w:val="CommentTextChar"/>
    <w:uiPriority w:val="99"/>
    <w:semiHidden/>
    <w:unhideWhenUsed/>
    <w:rsid w:val="009A0FB2"/>
    <w:rPr>
      <w:sz w:val="20"/>
      <w:szCs w:val="20"/>
    </w:rPr>
  </w:style>
  <w:style w:type="character" w:customStyle="1" w:styleId="CommentTextChar">
    <w:name w:val="Comment Text Char"/>
    <w:basedOn w:val="DefaultParagraphFont"/>
    <w:link w:val="CommentText"/>
    <w:uiPriority w:val="99"/>
    <w:semiHidden/>
    <w:rsid w:val="009A0FB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0FB2"/>
    <w:rPr>
      <w:b/>
      <w:bCs/>
    </w:rPr>
  </w:style>
  <w:style w:type="character" w:customStyle="1" w:styleId="CommentSubjectChar">
    <w:name w:val="Comment Subject Char"/>
    <w:basedOn w:val="CommentTextChar"/>
    <w:link w:val="CommentSubject"/>
    <w:uiPriority w:val="99"/>
    <w:semiHidden/>
    <w:rsid w:val="009A0FB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A0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B2"/>
    <w:rPr>
      <w:rFonts w:ascii="Segoe UI" w:eastAsia="Calibri" w:hAnsi="Segoe UI" w:cs="Segoe UI"/>
      <w:sz w:val="18"/>
      <w:szCs w:val="18"/>
      <w:lang w:bidi="en-US"/>
    </w:rPr>
  </w:style>
  <w:style w:type="paragraph" w:customStyle="1" w:styleId="Default">
    <w:name w:val="Default"/>
    <w:rsid w:val="000C2345"/>
    <w:pPr>
      <w:widowControl/>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005D7B"/>
    <w:rPr>
      <w:color w:val="0000FF" w:themeColor="hyperlink"/>
      <w:u w:val="single"/>
    </w:rPr>
  </w:style>
  <w:style w:type="character" w:styleId="UnresolvedMention">
    <w:name w:val="Unresolved Mention"/>
    <w:basedOn w:val="DefaultParagraphFont"/>
    <w:uiPriority w:val="99"/>
    <w:semiHidden/>
    <w:unhideWhenUsed/>
    <w:rsid w:val="0000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9962">
      <w:bodyDiv w:val="1"/>
      <w:marLeft w:val="0"/>
      <w:marRight w:val="0"/>
      <w:marTop w:val="0"/>
      <w:marBottom w:val="0"/>
      <w:divBdr>
        <w:top w:val="none" w:sz="0" w:space="0" w:color="auto"/>
        <w:left w:val="none" w:sz="0" w:space="0" w:color="auto"/>
        <w:bottom w:val="none" w:sz="0" w:space="0" w:color="auto"/>
        <w:right w:val="none" w:sz="0" w:space="0" w:color="auto"/>
      </w:divBdr>
    </w:div>
    <w:div w:id="398092955">
      <w:bodyDiv w:val="1"/>
      <w:marLeft w:val="0"/>
      <w:marRight w:val="0"/>
      <w:marTop w:val="0"/>
      <w:marBottom w:val="0"/>
      <w:divBdr>
        <w:top w:val="none" w:sz="0" w:space="0" w:color="auto"/>
        <w:left w:val="none" w:sz="0" w:space="0" w:color="auto"/>
        <w:bottom w:val="none" w:sz="0" w:space="0" w:color="auto"/>
        <w:right w:val="none" w:sz="0" w:space="0" w:color="auto"/>
      </w:divBdr>
    </w:div>
    <w:div w:id="610092955">
      <w:bodyDiv w:val="1"/>
      <w:marLeft w:val="0"/>
      <w:marRight w:val="0"/>
      <w:marTop w:val="0"/>
      <w:marBottom w:val="0"/>
      <w:divBdr>
        <w:top w:val="none" w:sz="0" w:space="0" w:color="auto"/>
        <w:left w:val="none" w:sz="0" w:space="0" w:color="auto"/>
        <w:bottom w:val="none" w:sz="0" w:space="0" w:color="auto"/>
        <w:right w:val="none" w:sz="0" w:space="0" w:color="auto"/>
      </w:divBdr>
    </w:div>
    <w:div w:id="839584131">
      <w:bodyDiv w:val="1"/>
      <w:marLeft w:val="0"/>
      <w:marRight w:val="0"/>
      <w:marTop w:val="0"/>
      <w:marBottom w:val="0"/>
      <w:divBdr>
        <w:top w:val="none" w:sz="0" w:space="0" w:color="auto"/>
        <w:left w:val="none" w:sz="0" w:space="0" w:color="auto"/>
        <w:bottom w:val="none" w:sz="0" w:space="0" w:color="auto"/>
        <w:right w:val="none" w:sz="0" w:space="0" w:color="auto"/>
      </w:divBdr>
    </w:div>
    <w:div w:id="158179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008F-A7A5-4320-87FC-0D34F13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Bittner</dc:creator>
  <cp:lastModifiedBy>Scott Carpenter</cp:lastModifiedBy>
  <cp:revision>2</cp:revision>
  <dcterms:created xsi:type="dcterms:W3CDTF">2020-06-30T18:19:00Z</dcterms:created>
  <dcterms:modified xsi:type="dcterms:W3CDTF">2020-06-30T18:19:00Z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11 for Word</vt:lpwstr>
  </property>
  <property fmtid="{D5CDD505-2E9C-101B-9397-08002B2CF9AE}" pid="4" name="LastSaved">
    <vt:filetime>2020-03-24T00:00:00Z</vt:filetime>
  </property>
</Properties>
</file>