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7478" w14:textId="4BC2ACAC" w:rsidR="00D12643" w:rsidRDefault="004A3203" w:rsidP="004A3203">
      <w:pPr>
        <w:jc w:val="center"/>
      </w:pPr>
      <w:r>
        <w:rPr>
          <w:noProof/>
        </w:rPr>
        <w:drawing>
          <wp:inline distT="0" distB="0" distL="0" distR="0" wp14:anchorId="599FA6DC" wp14:editId="17367ECC">
            <wp:extent cx="2177142" cy="108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4013" cy="1122007"/>
                    </a:xfrm>
                    <a:prstGeom prst="rect">
                      <a:avLst/>
                    </a:prstGeom>
                    <a:noFill/>
                    <a:ln>
                      <a:noFill/>
                    </a:ln>
                  </pic:spPr>
                </pic:pic>
              </a:graphicData>
            </a:graphic>
          </wp:inline>
        </w:drawing>
      </w:r>
      <w:r>
        <w:br/>
      </w:r>
      <w:r w:rsidR="00F34237">
        <w:t>American Society of Consultant Pharmacists - ASCP</w:t>
      </w:r>
    </w:p>
    <w:p w14:paraId="42376216" w14:textId="6AB10479" w:rsidR="00F34237" w:rsidRDefault="00F34237">
      <w:bookmarkStart w:id="0" w:name="_Hlk49782109"/>
      <w:r w:rsidRPr="00F34237">
        <w:t xml:space="preserve">The ASCP-NCOA Falls Risk Reduction Toolkit: A Companion to CDC’s STEADI Tool Kit is designed to focus on falls risk factors in older adults identified to be at increased risk using screening tools, such as the Centers for Disease Control and Prevention’s (CDC) Stopping Elderly Accidents, Deaths &amp; Injuries (STEADI) Toolkit. The toolkit guides the clinician through a more comprehensive assessment of falls risk inducing medications and medical conditions. </w:t>
      </w:r>
      <w:bookmarkEnd w:id="0"/>
      <w:r w:rsidRPr="00F34237">
        <w:t>Similar to STEADI, this toolkit conveys the importance of falls risk detection and management via an interprofessional approach. Given that medications and chronic conditions are often implicated as a risk factor for falling, the role of the pharmacist in falls risk reduction is emphasized.</w:t>
      </w:r>
    </w:p>
    <w:p w14:paraId="710BF32F" w14:textId="77777777" w:rsidR="00F34237" w:rsidRPr="00F34237" w:rsidRDefault="00F34237" w:rsidP="00F34237">
      <w:pPr>
        <w:spacing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The Collaborative Approach to Falls Prevention Workshop</w:t>
      </w:r>
    </w:p>
    <w:p w14:paraId="727D4B28"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Partnering with the Ohio Pharmacists Association (OPA), we are proud to bring this dynamic program to their Annual Meeting held on April 2, 2020 in Columbus, OH. </w:t>
      </w:r>
      <w:hyperlink r:id="rId9" w:tgtFrame="_blank" w:history="1">
        <w:r w:rsidRPr="00F34237">
          <w:rPr>
            <w:rFonts w:ascii="Lato" w:eastAsia="Times New Roman" w:hAnsi="Lato" w:cs="Helvetica"/>
            <w:color w:val="2200CC"/>
            <w:sz w:val="24"/>
            <w:szCs w:val="24"/>
          </w:rPr>
          <w:t>Click here</w:t>
        </w:r>
      </w:hyperlink>
      <w:r w:rsidRPr="00F34237">
        <w:rPr>
          <w:rFonts w:ascii="Lato" w:eastAsia="Times New Roman" w:hAnsi="Lato" w:cs="Helvetica"/>
          <w:color w:val="474646"/>
          <w:sz w:val="24"/>
          <w:szCs w:val="24"/>
        </w:rPr>
        <w:t xml:space="preserve"> for course information and registration.</w:t>
      </w:r>
    </w:p>
    <w:p w14:paraId="4BB92BC0"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3FC2FCAA" wp14:editId="3663D76E">
            <wp:extent cx="949325" cy="949325"/>
            <wp:effectExtent l="0" t="0" r="3175" b="3175"/>
            <wp:docPr id="17" name="Picture 1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l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19D04616"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Checklist</w:t>
      </w:r>
    </w:p>
    <w:p w14:paraId="661D6B98"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lastRenderedPageBreak/>
        <w:t xml:space="preserve">This resource is the primary assessment tool in the Toolkit and serves as the basis for the recommendations by pharmacists and other clinicians using this Toolkit. </w:t>
      </w:r>
      <w:hyperlink r:id="rId11" w:tgtFrame="_blank" w:history="1">
        <w:r w:rsidRPr="00F34237">
          <w:rPr>
            <w:rFonts w:ascii="Lato" w:eastAsia="Times New Roman" w:hAnsi="Lato" w:cs="Helvetica"/>
            <w:color w:val="2200CC"/>
            <w:sz w:val="24"/>
            <w:szCs w:val="24"/>
          </w:rPr>
          <w:t>Download »</w:t>
        </w:r>
      </w:hyperlink>
    </w:p>
    <w:p w14:paraId="11B58980"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2F4C705A" wp14:editId="227EFAEC">
            <wp:extent cx="949325" cy="949325"/>
            <wp:effectExtent l="0" t="0" r="3175" b="3175"/>
            <wp:docPr id="18" name="Picture 18" descr="bibl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bli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7C68C0D3"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Bibliography</w:t>
      </w:r>
    </w:p>
    <w:p w14:paraId="59BA49E0"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This resource provides references to research and best practices related to getting to know your patient, medical conditions, medication assessment, falls risk inducing drugs (FRIDs) and alternatives to FRIDs. This bibliography, which will be updated annually, provides the evidence-base for the Checklist. </w:t>
      </w:r>
      <w:hyperlink r:id="rId13" w:tgtFrame="_blank" w:history="1">
        <w:r w:rsidRPr="00F34237">
          <w:rPr>
            <w:rFonts w:ascii="Lato" w:eastAsia="Times New Roman" w:hAnsi="Lato" w:cs="Helvetica"/>
            <w:color w:val="2200CC"/>
            <w:sz w:val="24"/>
            <w:szCs w:val="24"/>
          </w:rPr>
          <w:t>Download »</w:t>
        </w:r>
      </w:hyperlink>
    </w:p>
    <w:p w14:paraId="5AB0ED84"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7C6CFB7C" wp14:editId="7BF8B662">
            <wp:extent cx="949325" cy="949325"/>
            <wp:effectExtent l="0" t="0" r="3175" b="3175"/>
            <wp:docPr id="19" name="Picture 19"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la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5094C44F"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Interprofessional and Older Adult/Caregiver Communication Templates</w:t>
      </w:r>
    </w:p>
    <w:p w14:paraId="763BDEFE"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These templates are intended to convey pharmacist findings and recommendations to other clinicians and to serve as a follow-up communication with the older adult and/or caregiver. These templates can be customized for the clinician’s practice. </w:t>
      </w:r>
      <w:hyperlink r:id="rId15" w:tgtFrame="_blank" w:history="1">
        <w:r w:rsidRPr="00F34237">
          <w:rPr>
            <w:rFonts w:ascii="Lato" w:eastAsia="Times New Roman" w:hAnsi="Lato" w:cs="Helvetica"/>
            <w:color w:val="2200CC"/>
            <w:sz w:val="24"/>
            <w:szCs w:val="24"/>
          </w:rPr>
          <w:t>Download »</w:t>
        </w:r>
      </w:hyperlink>
    </w:p>
    <w:p w14:paraId="71E69D5F"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0F79D500" wp14:editId="4FED1D2B">
            <wp:extent cx="949325" cy="949325"/>
            <wp:effectExtent l="0" t="0" r="3175" b="3175"/>
            <wp:docPr id="20" name="Picture 20" descr="cas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se stud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37304351"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Case Studies</w:t>
      </w:r>
    </w:p>
    <w:p w14:paraId="5193535D"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Three case studies apply the use of the Checklist in reducing falls risk associated with medical conditions and medications. </w:t>
      </w:r>
      <w:hyperlink r:id="rId17" w:tgtFrame="_blank" w:history="1">
        <w:r w:rsidRPr="00F34237">
          <w:rPr>
            <w:rFonts w:ascii="Lato" w:eastAsia="Times New Roman" w:hAnsi="Lato" w:cs="Helvetica"/>
            <w:color w:val="2200CC"/>
            <w:sz w:val="24"/>
            <w:szCs w:val="24"/>
          </w:rPr>
          <w:t>Download »</w:t>
        </w:r>
      </w:hyperlink>
    </w:p>
    <w:p w14:paraId="1BF207EE"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5684CEFD" wp14:editId="4005ADFB">
            <wp:extent cx="949325" cy="949325"/>
            <wp:effectExtent l="0" t="0" r="3175" b="3175"/>
            <wp:docPr id="21" name="Picture 21" descr="auth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thoriz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2F26F394"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Authorization for Release of Medical Information</w:t>
      </w:r>
    </w:p>
    <w:p w14:paraId="045B3E80"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This form can be used by pharmacists and other clinicians to obtain additional medical information about their patients. It can also be used to obtain patient authorization to share personal health information. </w:t>
      </w:r>
      <w:hyperlink r:id="rId19" w:tgtFrame="_blank" w:history="1">
        <w:r w:rsidRPr="00F34237">
          <w:rPr>
            <w:rFonts w:ascii="Lato" w:eastAsia="Times New Roman" w:hAnsi="Lato" w:cs="Helvetica"/>
            <w:color w:val="2200CC"/>
            <w:sz w:val="24"/>
            <w:szCs w:val="24"/>
          </w:rPr>
          <w:t>Download »</w:t>
        </w:r>
      </w:hyperlink>
    </w:p>
    <w:p w14:paraId="3B795DC9"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34F04981" wp14:editId="0140B31B">
            <wp:extent cx="949325" cy="949325"/>
            <wp:effectExtent l="0" t="0" r="3175" b="3175"/>
            <wp:docPr id="22" name="Picture 22" descr="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fer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3A0FC515"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Community Resources and Referral</w:t>
      </w:r>
    </w:p>
    <w:p w14:paraId="0A088109"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This section provides information about key clinical collaborators and community-based programs that pharmacists and other clinicians need to know about to develop a collaborative falls prevention service including cross-referrals. </w:t>
      </w:r>
      <w:hyperlink r:id="rId21" w:tgtFrame="_blank" w:history="1">
        <w:r w:rsidRPr="00F34237">
          <w:rPr>
            <w:rFonts w:ascii="Lato" w:eastAsia="Times New Roman" w:hAnsi="Lato" w:cs="Helvetica"/>
            <w:color w:val="2200CC"/>
            <w:sz w:val="24"/>
            <w:szCs w:val="24"/>
          </w:rPr>
          <w:t>Download » Coming soon.</w:t>
        </w:r>
      </w:hyperlink>
    </w:p>
    <w:p w14:paraId="034AF7E9"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2A23D319" wp14:editId="3B663A14">
            <wp:extent cx="949325" cy="949325"/>
            <wp:effectExtent l="0" t="0" r="3175" b="3175"/>
            <wp:docPr id="23" name="Picture 23" descr="consum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umer resour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6E155D9D" w14:textId="77777777" w:rsidR="00F34237" w:rsidRPr="00F34237" w:rsidRDefault="00F34237" w:rsidP="00F34237">
      <w:pPr>
        <w:spacing w:before="45" w:after="150" w:line="240" w:lineRule="auto"/>
        <w:outlineLvl w:val="1"/>
        <w:rPr>
          <w:rFonts w:ascii="inherit" w:eastAsia="Times New Roman" w:hAnsi="inherit" w:cs="Helvetica"/>
          <w:color w:val="440099"/>
          <w:sz w:val="36"/>
          <w:szCs w:val="36"/>
        </w:rPr>
      </w:pPr>
      <w:r w:rsidRPr="00F34237">
        <w:rPr>
          <w:rFonts w:ascii="inherit" w:eastAsia="Times New Roman" w:hAnsi="inherit" w:cs="Helvetica"/>
          <w:color w:val="440099"/>
          <w:sz w:val="36"/>
          <w:szCs w:val="36"/>
        </w:rPr>
        <w:t>Consumer Resources</w:t>
      </w:r>
    </w:p>
    <w:p w14:paraId="44B5442D"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 xml:space="preserve">This section provides links to booklets, brochures and other handouts related to falls prevention and medications that can be given to older adults/caregivers for educational purposes. </w:t>
      </w:r>
      <w:hyperlink r:id="rId23" w:tgtFrame="_blank" w:history="1">
        <w:r w:rsidRPr="00F34237">
          <w:rPr>
            <w:rFonts w:ascii="Lato" w:eastAsia="Times New Roman" w:hAnsi="Lato" w:cs="Helvetica"/>
            <w:color w:val="2200CC"/>
            <w:sz w:val="24"/>
            <w:szCs w:val="24"/>
          </w:rPr>
          <w:t>Download »</w:t>
        </w:r>
      </w:hyperlink>
    </w:p>
    <w:p w14:paraId="790551BA" w14:textId="77777777" w:rsidR="00F34237" w:rsidRPr="00F34237" w:rsidRDefault="00F34237" w:rsidP="00F34237">
      <w:pPr>
        <w:spacing w:before="0" w:after="0" w:line="240" w:lineRule="auto"/>
        <w:jc w:val="center"/>
        <w:rPr>
          <w:rFonts w:ascii="Lato" w:eastAsia="Times New Roman" w:hAnsi="Lato" w:cs="Helvetica"/>
          <w:color w:val="474646"/>
          <w:sz w:val="24"/>
          <w:szCs w:val="24"/>
        </w:rPr>
      </w:pPr>
      <w:r w:rsidRPr="00F34237">
        <w:rPr>
          <w:rFonts w:ascii="Lato" w:eastAsia="Times New Roman" w:hAnsi="Lato" w:cs="Helvetica"/>
          <w:noProof/>
          <w:color w:val="474646"/>
          <w:sz w:val="24"/>
          <w:szCs w:val="24"/>
        </w:rPr>
        <w:drawing>
          <wp:inline distT="0" distB="0" distL="0" distR="0" wp14:anchorId="5BCEE7FE" wp14:editId="2BA6F1D0">
            <wp:extent cx="949325" cy="949325"/>
            <wp:effectExtent l="0" t="0" r="3175" b="3175"/>
            <wp:docPr id="24" name="Picture 24" descr="consum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sumer resour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14:paraId="5C1D558A" w14:textId="77777777" w:rsidR="00F34237" w:rsidRPr="00F34237" w:rsidRDefault="004A3203" w:rsidP="00F34237">
      <w:pPr>
        <w:spacing w:before="45" w:after="150" w:line="240" w:lineRule="auto"/>
        <w:outlineLvl w:val="1"/>
        <w:rPr>
          <w:rFonts w:ascii="inherit" w:eastAsia="Times New Roman" w:hAnsi="inherit" w:cs="Helvetica"/>
          <w:color w:val="440099"/>
          <w:sz w:val="36"/>
          <w:szCs w:val="36"/>
        </w:rPr>
      </w:pPr>
      <w:hyperlink r:id="rId24" w:history="1">
        <w:r w:rsidR="00F34237" w:rsidRPr="00F34237">
          <w:rPr>
            <w:rFonts w:ascii="inherit" w:eastAsia="Times New Roman" w:hAnsi="inherit" w:cs="Helvetica"/>
            <w:color w:val="2200CC"/>
            <w:sz w:val="36"/>
            <w:szCs w:val="36"/>
          </w:rPr>
          <w:t>Discussion Forum</w:t>
        </w:r>
      </w:hyperlink>
    </w:p>
    <w:p w14:paraId="6C676A78" w14:textId="77777777" w:rsidR="00F34237" w:rsidRPr="00F34237" w:rsidRDefault="00F34237" w:rsidP="00F34237">
      <w:pPr>
        <w:spacing w:before="0" w:after="150" w:line="240" w:lineRule="auto"/>
        <w:rPr>
          <w:rFonts w:ascii="Lato" w:eastAsia="Times New Roman" w:hAnsi="Lato" w:cs="Helvetica"/>
          <w:color w:val="474646"/>
          <w:sz w:val="24"/>
          <w:szCs w:val="24"/>
        </w:rPr>
      </w:pPr>
      <w:r w:rsidRPr="00F34237">
        <w:rPr>
          <w:rFonts w:ascii="Lato" w:eastAsia="Times New Roman" w:hAnsi="Lato" w:cs="Helvetica"/>
          <w:color w:val="474646"/>
          <w:sz w:val="24"/>
          <w:szCs w:val="24"/>
        </w:rPr>
        <w:t>This discussion forum is a place for participants of the ASCP-NCOA Falls Risk Reduction Workshop to discuss the use of the ASCP-NCOA Falls Prevention Toolkit and topics of interest around the subject of falls prevention in older adults.</w:t>
      </w:r>
    </w:p>
    <w:p w14:paraId="566C678B" w14:textId="77777777" w:rsidR="00F34237" w:rsidRPr="00F34237" w:rsidRDefault="004A3203" w:rsidP="00F34237">
      <w:pPr>
        <w:spacing w:before="45" w:after="150" w:line="240" w:lineRule="auto"/>
        <w:outlineLvl w:val="2"/>
        <w:rPr>
          <w:rFonts w:ascii="inherit" w:eastAsia="Times New Roman" w:hAnsi="inherit" w:cs="Helvetica"/>
          <w:color w:val="440099"/>
          <w:sz w:val="33"/>
          <w:szCs w:val="33"/>
        </w:rPr>
      </w:pPr>
      <w:hyperlink r:id="rId25" w:anchor="background" w:history="1">
        <w:r w:rsidR="00F34237" w:rsidRPr="00F34237">
          <w:rPr>
            <w:rFonts w:ascii="inherit" w:eastAsia="Times New Roman" w:hAnsi="inherit" w:cs="Helvetica"/>
            <w:color w:val="2200CC"/>
            <w:sz w:val="33"/>
            <w:szCs w:val="33"/>
          </w:rPr>
          <w:t>Background</w:t>
        </w:r>
      </w:hyperlink>
    </w:p>
    <w:p w14:paraId="17CD1358" w14:textId="77777777" w:rsidR="00F34237" w:rsidRPr="00F34237" w:rsidRDefault="00F34237" w:rsidP="00F34237">
      <w:pPr>
        <w:spacing w:before="0" w:after="150" w:line="240" w:lineRule="auto"/>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Each year, millions older adults experience falls and fall-related injuries. Falls occur in all healthcare settings, in the home, and throughout the community. Falls often result in injuries that require emergent care, hospitalization, and short- and long-term skilled rehabilitation, costing Medicare over $30 billion annually. In 2012, the Centers for Disease Control and Prevention (CDC) developed and began promoting the Stopping Elderly Accidents, Deaths &amp; Injuries (STEADI) Toolkit to healthcare providers, community-based organizations and consumers in an effort to address the growing public health problem of falls among older adults.</w:t>
      </w:r>
    </w:p>
    <w:p w14:paraId="316BD443" w14:textId="77777777" w:rsidR="00F34237" w:rsidRPr="00F34237" w:rsidRDefault="00F34237" w:rsidP="00F34237">
      <w:pPr>
        <w:spacing w:before="0" w:after="150" w:line="240" w:lineRule="auto"/>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STEADI includes consumer educational materials and an algorithm for fall risk screening, assessment and intervention based on the American and British Geriatrics Societies Clinical Practice Guidelines for the Prevention of Falls in Older Persons. Many older adults identified to be at increased risk of falls through STEADI could benefit from more comprehensive assessment of their medications and medical conditions. In response to this need, the American Society of Consultant Pharmacists (ASCP) and the National Council on Aging (NCOA) began work in 2015 on an expanded assessment companion tool for pharmacists, physicians and other clinicians.</w:t>
      </w:r>
    </w:p>
    <w:p w14:paraId="10BAD826" w14:textId="77777777" w:rsidR="00F34237" w:rsidRPr="00F34237" w:rsidRDefault="00F34237" w:rsidP="00F34237">
      <w:pPr>
        <w:spacing w:before="0" w:after="150" w:line="240" w:lineRule="auto"/>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The ASCP-NCOA Falls Risk Reduction Toolkit is designed to focus on falls risk factors in older adults identified to be at increased risk using screening tools, such as STEADI. The ASCP-NCOA Toolkit guides the clinician through a more comprehensive assessment of falls risk inducing medications and medical conditions. Similar to STEADI, the ASCP-NCOA Falls Risk Reduction companion Toolkit conveys the importance of falls risk detection and management via an interprofessional approach. Given that medications and chronic conditions are often implicated as a risk factor for falling, the role of the pharmacist in falls risk reduction is emphasized.</w:t>
      </w:r>
    </w:p>
    <w:p w14:paraId="6B02DA0E" w14:textId="77777777" w:rsidR="00F34237" w:rsidRPr="00F34237" w:rsidRDefault="00F34237" w:rsidP="00F34237">
      <w:pPr>
        <w:spacing w:before="0" w:after="150" w:line="240" w:lineRule="auto"/>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Why is an expanded falls risk assessment tool focused on medical conditions and medications needed?</w:t>
      </w:r>
    </w:p>
    <w:p w14:paraId="67744A63" w14:textId="77777777" w:rsidR="00F34237" w:rsidRPr="00F34237" w:rsidRDefault="00F34237" w:rsidP="00F34237">
      <w:pPr>
        <w:numPr>
          <w:ilvl w:val="0"/>
          <w:numId w:val="1"/>
        </w:numPr>
        <w:spacing w:before="100" w:beforeAutospacing="1" w:after="100" w:afterAutospacing="1" w:line="240" w:lineRule="auto"/>
        <w:ind w:left="600"/>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The population at most risk of falling is rapidly growing.</w:t>
      </w:r>
    </w:p>
    <w:p w14:paraId="7356A92E" w14:textId="77777777" w:rsidR="00F34237" w:rsidRPr="00F34237" w:rsidRDefault="00F34237" w:rsidP="00F34237">
      <w:pPr>
        <w:numPr>
          <w:ilvl w:val="0"/>
          <w:numId w:val="1"/>
        </w:numPr>
        <w:spacing w:before="100" w:beforeAutospacing="1" w:after="100" w:afterAutospacing="1" w:line="240" w:lineRule="auto"/>
        <w:ind w:left="600"/>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Many different risk factors contribute to falls.</w:t>
      </w:r>
    </w:p>
    <w:p w14:paraId="5EA53528" w14:textId="77777777" w:rsidR="00F34237" w:rsidRPr="00F34237" w:rsidRDefault="00F34237" w:rsidP="00F34237">
      <w:pPr>
        <w:numPr>
          <w:ilvl w:val="0"/>
          <w:numId w:val="1"/>
        </w:numPr>
        <w:spacing w:before="100" w:beforeAutospacing="1" w:after="100" w:afterAutospacing="1" w:line="240" w:lineRule="auto"/>
        <w:ind w:left="600"/>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Medications are common contributors to falls.</w:t>
      </w:r>
    </w:p>
    <w:p w14:paraId="02F52BA8" w14:textId="77777777" w:rsidR="00F34237" w:rsidRPr="00F34237" w:rsidRDefault="00F34237" w:rsidP="00F34237">
      <w:pPr>
        <w:numPr>
          <w:ilvl w:val="0"/>
          <w:numId w:val="1"/>
        </w:numPr>
        <w:spacing w:before="100" w:beforeAutospacing="1" w:after="100" w:afterAutospacing="1" w:line="240" w:lineRule="auto"/>
        <w:ind w:left="600"/>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Medical conditions are common contributors to falls.</w:t>
      </w:r>
    </w:p>
    <w:p w14:paraId="129883A2" w14:textId="77777777" w:rsidR="00F34237" w:rsidRPr="00F34237" w:rsidRDefault="00F34237" w:rsidP="00F34237">
      <w:pPr>
        <w:numPr>
          <w:ilvl w:val="0"/>
          <w:numId w:val="1"/>
        </w:numPr>
        <w:spacing w:before="100" w:beforeAutospacing="1" w:after="100" w:afterAutospacing="1" w:line="240" w:lineRule="auto"/>
        <w:ind w:left="600"/>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Healthcare providers play an important role in reducing risk factors.</w:t>
      </w:r>
    </w:p>
    <w:p w14:paraId="7FFE88C9" w14:textId="77777777" w:rsidR="00F34237" w:rsidRPr="00F34237" w:rsidRDefault="00F34237" w:rsidP="00F34237">
      <w:pPr>
        <w:numPr>
          <w:ilvl w:val="0"/>
          <w:numId w:val="1"/>
        </w:numPr>
        <w:spacing w:before="100" w:beforeAutospacing="1" w:after="100" w:afterAutospacing="1" w:line="240" w:lineRule="auto"/>
        <w:ind w:left="600"/>
        <w:rPr>
          <w:rFonts w:ascii="Lato" w:eastAsia="Times New Roman" w:hAnsi="Lato" w:cs="Helvetica"/>
          <w:vanish/>
          <w:color w:val="474646"/>
          <w:sz w:val="24"/>
          <w:szCs w:val="24"/>
        </w:rPr>
      </w:pPr>
      <w:r w:rsidRPr="00F34237">
        <w:rPr>
          <w:rFonts w:ascii="Lato" w:eastAsia="Times New Roman" w:hAnsi="Lato" w:cs="Helvetica"/>
          <w:vanish/>
          <w:color w:val="474646"/>
          <w:sz w:val="24"/>
          <w:szCs w:val="24"/>
        </w:rPr>
        <w:t xml:space="preserve">A six-step, comprehensive falls assessment for those at highest risk could identify and potentially mitigate risks before a fall occurs. </w:t>
      </w:r>
    </w:p>
    <w:p w14:paraId="24058D9F" w14:textId="3E7BCC5B" w:rsidR="00F34237" w:rsidRDefault="004A3203" w:rsidP="00F34237">
      <w:pPr>
        <w:rPr>
          <w:rFonts w:ascii="Calibri" w:eastAsia="Times New Roman" w:hAnsi="Calibri" w:cs="Helvetica"/>
          <w:color w:val="2200CC"/>
          <w:sz w:val="28"/>
          <w:szCs w:val="28"/>
        </w:rPr>
      </w:pPr>
      <w:hyperlink r:id="rId26" w:anchor="howto" w:history="1">
        <w:r w:rsidR="00F34237" w:rsidRPr="00F34237">
          <w:rPr>
            <w:rFonts w:ascii="Calibri" w:eastAsia="Times New Roman" w:hAnsi="Calibri" w:cs="Helvetica"/>
            <w:color w:val="2200CC"/>
            <w:sz w:val="28"/>
            <w:szCs w:val="28"/>
          </w:rPr>
          <w:t>How to Use the Toolkit</w:t>
        </w:r>
      </w:hyperlink>
    </w:p>
    <w:p w14:paraId="2E5B9F0B" w14:textId="78672A9B" w:rsidR="0036673E" w:rsidRDefault="0036673E" w:rsidP="00F34237">
      <w:pPr>
        <w:rPr>
          <w:rFonts w:ascii="Calibri" w:eastAsia="Times New Roman" w:hAnsi="Calibri" w:cs="Helvetica"/>
          <w:color w:val="2200CC"/>
          <w:sz w:val="28"/>
          <w:szCs w:val="28"/>
        </w:rPr>
      </w:pPr>
    </w:p>
    <w:p w14:paraId="28DA7791" w14:textId="7E92E600" w:rsidR="0036673E" w:rsidRDefault="0036673E" w:rsidP="00F34237">
      <w:r>
        <w:rPr>
          <w:rFonts w:ascii="Calibri" w:eastAsia="Times New Roman" w:hAnsi="Calibri" w:cs="Helvetica"/>
          <w:color w:val="2200CC"/>
          <w:sz w:val="28"/>
          <w:szCs w:val="28"/>
        </w:rPr>
        <w:t xml:space="preserve">Source: </w:t>
      </w:r>
      <w:hyperlink r:id="rId27" w:history="1">
        <w:r w:rsidRPr="0036673E">
          <w:rPr>
            <w:rStyle w:val="Hyperlink"/>
            <w:rFonts w:ascii="Calibri" w:eastAsia="Times New Roman" w:hAnsi="Calibri" w:cs="Helvetica"/>
            <w:sz w:val="28"/>
            <w:szCs w:val="28"/>
          </w:rPr>
          <w:t>https://www.ascp.com/page/fallstoolkit</w:t>
        </w:r>
      </w:hyperlink>
    </w:p>
    <w:sectPr w:rsidR="0036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52E35"/>
    <w:multiLevelType w:val="multilevel"/>
    <w:tmpl w:val="DA8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37"/>
    <w:rsid w:val="002A0413"/>
    <w:rsid w:val="0036673E"/>
    <w:rsid w:val="004A3203"/>
    <w:rsid w:val="00D12643"/>
    <w:rsid w:val="00F3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4DA3"/>
  <w15:chartTrackingRefBased/>
  <w15:docId w15:val="{E01C0390-3CFD-4A3F-A19C-5EA04360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32"/>
        <w:szCs w:val="32"/>
        <w:lang w:val="en-US" w:eastAsia="en-US" w:bidi="ar-SA"/>
      </w:rPr>
    </w:rPrDefault>
    <w:pPrDefault>
      <w:pPr>
        <w:spacing w:before="120"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237"/>
    <w:rPr>
      <w:color w:val="0000FF" w:themeColor="hyperlink"/>
      <w:u w:val="single"/>
    </w:rPr>
  </w:style>
  <w:style w:type="character" w:styleId="UnresolvedMention">
    <w:name w:val="Unresolved Mention"/>
    <w:basedOn w:val="DefaultParagraphFont"/>
    <w:uiPriority w:val="99"/>
    <w:semiHidden/>
    <w:unhideWhenUsed/>
    <w:rsid w:val="00F3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655134">
      <w:bodyDiv w:val="1"/>
      <w:marLeft w:val="0"/>
      <w:marRight w:val="0"/>
      <w:marTop w:val="0"/>
      <w:marBottom w:val="0"/>
      <w:divBdr>
        <w:top w:val="none" w:sz="0" w:space="0" w:color="auto"/>
        <w:left w:val="none" w:sz="0" w:space="0" w:color="auto"/>
        <w:bottom w:val="none" w:sz="0" w:space="0" w:color="auto"/>
        <w:right w:val="none" w:sz="0" w:space="0" w:color="auto"/>
      </w:divBdr>
      <w:divsChild>
        <w:div w:id="350759615">
          <w:marLeft w:val="0"/>
          <w:marRight w:val="0"/>
          <w:marTop w:val="1875"/>
          <w:marBottom w:val="0"/>
          <w:divBdr>
            <w:top w:val="none" w:sz="0" w:space="0" w:color="auto"/>
            <w:left w:val="none" w:sz="0" w:space="0" w:color="auto"/>
            <w:bottom w:val="none" w:sz="0" w:space="0" w:color="auto"/>
            <w:right w:val="none" w:sz="0" w:space="0" w:color="auto"/>
          </w:divBdr>
          <w:divsChild>
            <w:div w:id="1992172884">
              <w:marLeft w:val="-120"/>
              <w:marRight w:val="-120"/>
              <w:marTop w:val="0"/>
              <w:marBottom w:val="0"/>
              <w:divBdr>
                <w:top w:val="none" w:sz="0" w:space="0" w:color="auto"/>
                <w:left w:val="none" w:sz="0" w:space="0" w:color="auto"/>
                <w:bottom w:val="none" w:sz="0" w:space="0" w:color="auto"/>
                <w:right w:val="none" w:sz="0" w:space="0" w:color="auto"/>
              </w:divBdr>
              <w:divsChild>
                <w:div w:id="1573272890">
                  <w:marLeft w:val="0"/>
                  <w:marRight w:val="0"/>
                  <w:marTop w:val="0"/>
                  <w:marBottom w:val="0"/>
                  <w:divBdr>
                    <w:top w:val="none" w:sz="0" w:space="0" w:color="auto"/>
                    <w:left w:val="none" w:sz="0" w:space="0" w:color="auto"/>
                    <w:bottom w:val="none" w:sz="0" w:space="0" w:color="auto"/>
                    <w:right w:val="none" w:sz="0" w:space="0" w:color="auto"/>
                  </w:divBdr>
                  <w:divsChild>
                    <w:div w:id="1548226714">
                      <w:marLeft w:val="0"/>
                      <w:marRight w:val="0"/>
                      <w:marTop w:val="0"/>
                      <w:marBottom w:val="0"/>
                      <w:divBdr>
                        <w:top w:val="none" w:sz="0" w:space="0" w:color="auto"/>
                        <w:left w:val="none" w:sz="0" w:space="0" w:color="auto"/>
                        <w:bottom w:val="none" w:sz="0" w:space="0" w:color="auto"/>
                        <w:right w:val="none" w:sz="0" w:space="0" w:color="auto"/>
                      </w:divBdr>
                      <w:divsChild>
                        <w:div w:id="268701281">
                          <w:marLeft w:val="0"/>
                          <w:marRight w:val="0"/>
                          <w:marTop w:val="0"/>
                          <w:marBottom w:val="0"/>
                          <w:divBdr>
                            <w:top w:val="none" w:sz="0" w:space="0" w:color="auto"/>
                            <w:left w:val="none" w:sz="0" w:space="0" w:color="auto"/>
                            <w:bottom w:val="none" w:sz="0" w:space="0" w:color="auto"/>
                            <w:right w:val="none" w:sz="0" w:space="0" w:color="auto"/>
                          </w:divBdr>
                          <w:divsChild>
                            <w:div w:id="753554694">
                              <w:marLeft w:val="-120"/>
                              <w:marRight w:val="-120"/>
                              <w:marTop w:val="0"/>
                              <w:marBottom w:val="0"/>
                              <w:divBdr>
                                <w:top w:val="none" w:sz="0" w:space="0" w:color="auto"/>
                                <w:left w:val="none" w:sz="0" w:space="0" w:color="auto"/>
                                <w:bottom w:val="none" w:sz="0" w:space="0" w:color="auto"/>
                                <w:right w:val="none" w:sz="0" w:space="0" w:color="auto"/>
                              </w:divBdr>
                              <w:divsChild>
                                <w:div w:id="2134247986">
                                  <w:marLeft w:val="0"/>
                                  <w:marRight w:val="0"/>
                                  <w:marTop w:val="0"/>
                                  <w:marBottom w:val="0"/>
                                  <w:divBdr>
                                    <w:top w:val="none" w:sz="0" w:space="0" w:color="auto"/>
                                    <w:left w:val="none" w:sz="0" w:space="0" w:color="auto"/>
                                    <w:bottom w:val="none" w:sz="0" w:space="0" w:color="auto"/>
                                    <w:right w:val="none" w:sz="0" w:space="0" w:color="auto"/>
                                  </w:divBdr>
                                </w:div>
                              </w:divsChild>
                            </w:div>
                            <w:div w:id="1245264407">
                              <w:marLeft w:val="-120"/>
                              <w:marRight w:val="-120"/>
                              <w:marTop w:val="0"/>
                              <w:marBottom w:val="0"/>
                              <w:divBdr>
                                <w:top w:val="none" w:sz="0" w:space="0" w:color="auto"/>
                                <w:left w:val="none" w:sz="0" w:space="0" w:color="auto"/>
                                <w:bottom w:val="none" w:sz="0" w:space="0" w:color="auto"/>
                                <w:right w:val="none" w:sz="0" w:space="0" w:color="auto"/>
                              </w:divBdr>
                              <w:divsChild>
                                <w:div w:id="1621448355">
                                  <w:marLeft w:val="0"/>
                                  <w:marRight w:val="0"/>
                                  <w:marTop w:val="0"/>
                                  <w:marBottom w:val="0"/>
                                  <w:divBdr>
                                    <w:top w:val="none" w:sz="0" w:space="0" w:color="auto"/>
                                    <w:left w:val="none" w:sz="0" w:space="0" w:color="auto"/>
                                    <w:bottom w:val="none" w:sz="0" w:space="0" w:color="auto"/>
                                    <w:right w:val="none" w:sz="0" w:space="0" w:color="auto"/>
                                  </w:divBdr>
                                </w:div>
                              </w:divsChild>
                            </w:div>
                            <w:div w:id="368800597">
                              <w:marLeft w:val="-120"/>
                              <w:marRight w:val="-120"/>
                              <w:marTop w:val="0"/>
                              <w:marBottom w:val="0"/>
                              <w:divBdr>
                                <w:top w:val="none" w:sz="0" w:space="0" w:color="auto"/>
                                <w:left w:val="none" w:sz="0" w:space="0" w:color="auto"/>
                                <w:bottom w:val="none" w:sz="0" w:space="0" w:color="auto"/>
                                <w:right w:val="none" w:sz="0" w:space="0" w:color="auto"/>
                              </w:divBdr>
                              <w:divsChild>
                                <w:div w:id="472259767">
                                  <w:marLeft w:val="0"/>
                                  <w:marRight w:val="0"/>
                                  <w:marTop w:val="0"/>
                                  <w:marBottom w:val="0"/>
                                  <w:divBdr>
                                    <w:top w:val="none" w:sz="0" w:space="0" w:color="auto"/>
                                    <w:left w:val="none" w:sz="0" w:space="0" w:color="auto"/>
                                    <w:bottom w:val="none" w:sz="0" w:space="0" w:color="auto"/>
                                    <w:right w:val="none" w:sz="0" w:space="0" w:color="auto"/>
                                  </w:divBdr>
                                </w:div>
                              </w:divsChild>
                            </w:div>
                            <w:div w:id="2033917183">
                              <w:marLeft w:val="-120"/>
                              <w:marRight w:val="-120"/>
                              <w:marTop w:val="0"/>
                              <w:marBottom w:val="0"/>
                              <w:divBdr>
                                <w:top w:val="none" w:sz="0" w:space="0" w:color="auto"/>
                                <w:left w:val="none" w:sz="0" w:space="0" w:color="auto"/>
                                <w:bottom w:val="none" w:sz="0" w:space="0" w:color="auto"/>
                                <w:right w:val="none" w:sz="0" w:space="0" w:color="auto"/>
                              </w:divBdr>
                              <w:divsChild>
                                <w:div w:id="578910216">
                                  <w:marLeft w:val="0"/>
                                  <w:marRight w:val="0"/>
                                  <w:marTop w:val="0"/>
                                  <w:marBottom w:val="0"/>
                                  <w:divBdr>
                                    <w:top w:val="none" w:sz="0" w:space="0" w:color="auto"/>
                                    <w:left w:val="none" w:sz="0" w:space="0" w:color="auto"/>
                                    <w:bottom w:val="none" w:sz="0" w:space="0" w:color="auto"/>
                                    <w:right w:val="none" w:sz="0" w:space="0" w:color="auto"/>
                                  </w:divBdr>
                                </w:div>
                              </w:divsChild>
                            </w:div>
                            <w:div w:id="1766608685">
                              <w:marLeft w:val="-120"/>
                              <w:marRight w:val="-120"/>
                              <w:marTop w:val="0"/>
                              <w:marBottom w:val="0"/>
                              <w:divBdr>
                                <w:top w:val="none" w:sz="0" w:space="0" w:color="auto"/>
                                <w:left w:val="none" w:sz="0" w:space="0" w:color="auto"/>
                                <w:bottom w:val="none" w:sz="0" w:space="0" w:color="auto"/>
                                <w:right w:val="none" w:sz="0" w:space="0" w:color="auto"/>
                              </w:divBdr>
                              <w:divsChild>
                                <w:div w:id="1799375897">
                                  <w:marLeft w:val="0"/>
                                  <w:marRight w:val="0"/>
                                  <w:marTop w:val="0"/>
                                  <w:marBottom w:val="0"/>
                                  <w:divBdr>
                                    <w:top w:val="none" w:sz="0" w:space="0" w:color="auto"/>
                                    <w:left w:val="none" w:sz="0" w:space="0" w:color="auto"/>
                                    <w:bottom w:val="none" w:sz="0" w:space="0" w:color="auto"/>
                                    <w:right w:val="none" w:sz="0" w:space="0" w:color="auto"/>
                                  </w:divBdr>
                                </w:div>
                              </w:divsChild>
                            </w:div>
                            <w:div w:id="1075518009">
                              <w:marLeft w:val="-120"/>
                              <w:marRight w:val="-120"/>
                              <w:marTop w:val="0"/>
                              <w:marBottom w:val="0"/>
                              <w:divBdr>
                                <w:top w:val="none" w:sz="0" w:space="0" w:color="auto"/>
                                <w:left w:val="none" w:sz="0" w:space="0" w:color="auto"/>
                                <w:bottom w:val="none" w:sz="0" w:space="0" w:color="auto"/>
                                <w:right w:val="none" w:sz="0" w:space="0" w:color="auto"/>
                              </w:divBdr>
                              <w:divsChild>
                                <w:div w:id="63648359">
                                  <w:marLeft w:val="0"/>
                                  <w:marRight w:val="0"/>
                                  <w:marTop w:val="0"/>
                                  <w:marBottom w:val="0"/>
                                  <w:divBdr>
                                    <w:top w:val="none" w:sz="0" w:space="0" w:color="auto"/>
                                    <w:left w:val="none" w:sz="0" w:space="0" w:color="auto"/>
                                    <w:bottom w:val="none" w:sz="0" w:space="0" w:color="auto"/>
                                    <w:right w:val="none" w:sz="0" w:space="0" w:color="auto"/>
                                  </w:divBdr>
                                </w:div>
                              </w:divsChild>
                            </w:div>
                            <w:div w:id="565917377">
                              <w:marLeft w:val="-120"/>
                              <w:marRight w:val="-120"/>
                              <w:marTop w:val="0"/>
                              <w:marBottom w:val="0"/>
                              <w:divBdr>
                                <w:top w:val="none" w:sz="0" w:space="0" w:color="auto"/>
                                <w:left w:val="none" w:sz="0" w:space="0" w:color="auto"/>
                                <w:bottom w:val="none" w:sz="0" w:space="0" w:color="auto"/>
                                <w:right w:val="none" w:sz="0" w:space="0" w:color="auto"/>
                              </w:divBdr>
                              <w:divsChild>
                                <w:div w:id="116685697">
                                  <w:marLeft w:val="0"/>
                                  <w:marRight w:val="0"/>
                                  <w:marTop w:val="0"/>
                                  <w:marBottom w:val="0"/>
                                  <w:divBdr>
                                    <w:top w:val="none" w:sz="0" w:space="0" w:color="auto"/>
                                    <w:left w:val="none" w:sz="0" w:space="0" w:color="auto"/>
                                    <w:bottom w:val="none" w:sz="0" w:space="0" w:color="auto"/>
                                    <w:right w:val="none" w:sz="0" w:space="0" w:color="auto"/>
                                  </w:divBdr>
                                </w:div>
                              </w:divsChild>
                            </w:div>
                            <w:div w:id="2085031831">
                              <w:marLeft w:val="-120"/>
                              <w:marRight w:val="-120"/>
                              <w:marTop w:val="0"/>
                              <w:marBottom w:val="0"/>
                              <w:divBdr>
                                <w:top w:val="none" w:sz="0" w:space="0" w:color="auto"/>
                                <w:left w:val="none" w:sz="0" w:space="0" w:color="auto"/>
                                <w:bottom w:val="none" w:sz="0" w:space="0" w:color="auto"/>
                                <w:right w:val="none" w:sz="0" w:space="0" w:color="auto"/>
                              </w:divBdr>
                              <w:divsChild>
                                <w:div w:id="337853974">
                                  <w:marLeft w:val="0"/>
                                  <w:marRight w:val="0"/>
                                  <w:marTop w:val="0"/>
                                  <w:marBottom w:val="0"/>
                                  <w:divBdr>
                                    <w:top w:val="none" w:sz="0" w:space="0" w:color="auto"/>
                                    <w:left w:val="none" w:sz="0" w:space="0" w:color="auto"/>
                                    <w:bottom w:val="none" w:sz="0" w:space="0" w:color="auto"/>
                                    <w:right w:val="none" w:sz="0" w:space="0" w:color="auto"/>
                                  </w:divBdr>
                                </w:div>
                              </w:divsChild>
                            </w:div>
                            <w:div w:id="1025059812">
                              <w:marLeft w:val="-120"/>
                              <w:marRight w:val="-120"/>
                              <w:marTop w:val="0"/>
                              <w:marBottom w:val="0"/>
                              <w:divBdr>
                                <w:top w:val="none" w:sz="0" w:space="0" w:color="auto"/>
                                <w:left w:val="none" w:sz="0" w:space="0" w:color="auto"/>
                                <w:bottom w:val="none" w:sz="0" w:space="0" w:color="auto"/>
                                <w:right w:val="none" w:sz="0" w:space="0" w:color="auto"/>
                              </w:divBdr>
                              <w:divsChild>
                                <w:div w:id="473647885">
                                  <w:marLeft w:val="0"/>
                                  <w:marRight w:val="0"/>
                                  <w:marTop w:val="0"/>
                                  <w:marBottom w:val="0"/>
                                  <w:divBdr>
                                    <w:top w:val="none" w:sz="0" w:space="0" w:color="auto"/>
                                    <w:left w:val="none" w:sz="0" w:space="0" w:color="auto"/>
                                    <w:bottom w:val="none" w:sz="0" w:space="0" w:color="auto"/>
                                    <w:right w:val="none" w:sz="0" w:space="0" w:color="auto"/>
                                  </w:divBdr>
                                </w:div>
                              </w:divsChild>
                            </w:div>
                            <w:div w:id="2018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101877">
      <w:bodyDiv w:val="1"/>
      <w:marLeft w:val="0"/>
      <w:marRight w:val="0"/>
      <w:marTop w:val="0"/>
      <w:marBottom w:val="0"/>
      <w:divBdr>
        <w:top w:val="none" w:sz="0" w:space="0" w:color="auto"/>
        <w:left w:val="none" w:sz="0" w:space="0" w:color="auto"/>
        <w:bottom w:val="none" w:sz="0" w:space="0" w:color="auto"/>
        <w:right w:val="none" w:sz="0" w:space="0" w:color="auto"/>
      </w:divBdr>
      <w:divsChild>
        <w:div w:id="630671014">
          <w:marLeft w:val="0"/>
          <w:marRight w:val="0"/>
          <w:marTop w:val="1875"/>
          <w:marBottom w:val="0"/>
          <w:divBdr>
            <w:top w:val="none" w:sz="0" w:space="0" w:color="auto"/>
            <w:left w:val="none" w:sz="0" w:space="0" w:color="auto"/>
            <w:bottom w:val="none" w:sz="0" w:space="0" w:color="auto"/>
            <w:right w:val="none" w:sz="0" w:space="0" w:color="auto"/>
          </w:divBdr>
          <w:divsChild>
            <w:div w:id="806751150">
              <w:marLeft w:val="-120"/>
              <w:marRight w:val="-120"/>
              <w:marTop w:val="0"/>
              <w:marBottom w:val="0"/>
              <w:divBdr>
                <w:top w:val="none" w:sz="0" w:space="0" w:color="auto"/>
                <w:left w:val="none" w:sz="0" w:space="0" w:color="auto"/>
                <w:bottom w:val="none" w:sz="0" w:space="0" w:color="auto"/>
                <w:right w:val="none" w:sz="0" w:space="0" w:color="auto"/>
              </w:divBdr>
              <w:divsChild>
                <w:div w:id="432407433">
                  <w:marLeft w:val="0"/>
                  <w:marRight w:val="0"/>
                  <w:marTop w:val="0"/>
                  <w:marBottom w:val="0"/>
                  <w:divBdr>
                    <w:top w:val="none" w:sz="0" w:space="0" w:color="auto"/>
                    <w:left w:val="none" w:sz="0" w:space="0" w:color="auto"/>
                    <w:bottom w:val="none" w:sz="0" w:space="0" w:color="auto"/>
                    <w:right w:val="none" w:sz="0" w:space="0" w:color="auto"/>
                  </w:divBdr>
                  <w:divsChild>
                    <w:div w:id="1292709989">
                      <w:marLeft w:val="0"/>
                      <w:marRight w:val="0"/>
                      <w:marTop w:val="0"/>
                      <w:marBottom w:val="0"/>
                      <w:divBdr>
                        <w:top w:val="none" w:sz="0" w:space="0" w:color="auto"/>
                        <w:left w:val="none" w:sz="0" w:space="0" w:color="auto"/>
                        <w:bottom w:val="none" w:sz="0" w:space="0" w:color="auto"/>
                        <w:right w:val="none" w:sz="0" w:space="0" w:color="auto"/>
                      </w:divBdr>
                      <w:divsChild>
                        <w:div w:id="937831620">
                          <w:marLeft w:val="0"/>
                          <w:marRight w:val="0"/>
                          <w:marTop w:val="0"/>
                          <w:marBottom w:val="0"/>
                          <w:divBdr>
                            <w:top w:val="none" w:sz="0" w:space="0" w:color="auto"/>
                            <w:left w:val="none" w:sz="0" w:space="0" w:color="auto"/>
                            <w:bottom w:val="none" w:sz="0" w:space="0" w:color="auto"/>
                            <w:right w:val="none" w:sz="0" w:space="0" w:color="auto"/>
                          </w:divBdr>
                          <w:divsChild>
                            <w:div w:id="203912956">
                              <w:marLeft w:val="-120"/>
                              <w:marRight w:val="-120"/>
                              <w:marTop w:val="0"/>
                              <w:marBottom w:val="0"/>
                              <w:divBdr>
                                <w:top w:val="none" w:sz="0" w:space="0" w:color="auto"/>
                                <w:left w:val="none" w:sz="0" w:space="0" w:color="auto"/>
                                <w:bottom w:val="none" w:sz="0" w:space="0" w:color="auto"/>
                                <w:right w:val="none" w:sz="0" w:space="0" w:color="auto"/>
                              </w:divBdr>
                              <w:divsChild>
                                <w:div w:id="526911055">
                                  <w:marLeft w:val="0"/>
                                  <w:marRight w:val="0"/>
                                  <w:marTop w:val="0"/>
                                  <w:marBottom w:val="0"/>
                                  <w:divBdr>
                                    <w:top w:val="none" w:sz="0" w:space="0" w:color="auto"/>
                                    <w:left w:val="none" w:sz="0" w:space="0" w:color="auto"/>
                                    <w:bottom w:val="none" w:sz="0" w:space="0" w:color="auto"/>
                                    <w:right w:val="none" w:sz="0" w:space="0" w:color="auto"/>
                                  </w:divBdr>
                                </w:div>
                              </w:divsChild>
                            </w:div>
                            <w:div w:id="1651403034">
                              <w:marLeft w:val="-120"/>
                              <w:marRight w:val="-120"/>
                              <w:marTop w:val="0"/>
                              <w:marBottom w:val="0"/>
                              <w:divBdr>
                                <w:top w:val="none" w:sz="0" w:space="0" w:color="auto"/>
                                <w:left w:val="none" w:sz="0" w:space="0" w:color="auto"/>
                                <w:bottom w:val="none" w:sz="0" w:space="0" w:color="auto"/>
                                <w:right w:val="none" w:sz="0" w:space="0" w:color="auto"/>
                              </w:divBdr>
                              <w:divsChild>
                                <w:div w:id="1188637541">
                                  <w:marLeft w:val="0"/>
                                  <w:marRight w:val="0"/>
                                  <w:marTop w:val="0"/>
                                  <w:marBottom w:val="0"/>
                                  <w:divBdr>
                                    <w:top w:val="none" w:sz="0" w:space="0" w:color="auto"/>
                                    <w:left w:val="none" w:sz="0" w:space="0" w:color="auto"/>
                                    <w:bottom w:val="none" w:sz="0" w:space="0" w:color="auto"/>
                                    <w:right w:val="none" w:sz="0" w:space="0" w:color="auto"/>
                                  </w:divBdr>
                                </w:div>
                              </w:divsChild>
                            </w:div>
                            <w:div w:id="1528248596">
                              <w:marLeft w:val="-120"/>
                              <w:marRight w:val="-120"/>
                              <w:marTop w:val="0"/>
                              <w:marBottom w:val="0"/>
                              <w:divBdr>
                                <w:top w:val="none" w:sz="0" w:space="0" w:color="auto"/>
                                <w:left w:val="none" w:sz="0" w:space="0" w:color="auto"/>
                                <w:bottom w:val="none" w:sz="0" w:space="0" w:color="auto"/>
                                <w:right w:val="none" w:sz="0" w:space="0" w:color="auto"/>
                              </w:divBdr>
                              <w:divsChild>
                                <w:div w:id="1057121189">
                                  <w:marLeft w:val="0"/>
                                  <w:marRight w:val="0"/>
                                  <w:marTop w:val="0"/>
                                  <w:marBottom w:val="0"/>
                                  <w:divBdr>
                                    <w:top w:val="none" w:sz="0" w:space="0" w:color="auto"/>
                                    <w:left w:val="none" w:sz="0" w:space="0" w:color="auto"/>
                                    <w:bottom w:val="none" w:sz="0" w:space="0" w:color="auto"/>
                                    <w:right w:val="none" w:sz="0" w:space="0" w:color="auto"/>
                                  </w:divBdr>
                                </w:div>
                              </w:divsChild>
                            </w:div>
                            <w:div w:id="113404481">
                              <w:marLeft w:val="-120"/>
                              <w:marRight w:val="-120"/>
                              <w:marTop w:val="0"/>
                              <w:marBottom w:val="0"/>
                              <w:divBdr>
                                <w:top w:val="none" w:sz="0" w:space="0" w:color="auto"/>
                                <w:left w:val="none" w:sz="0" w:space="0" w:color="auto"/>
                                <w:bottom w:val="none" w:sz="0" w:space="0" w:color="auto"/>
                                <w:right w:val="none" w:sz="0" w:space="0" w:color="auto"/>
                              </w:divBdr>
                              <w:divsChild>
                                <w:div w:id="993488106">
                                  <w:marLeft w:val="0"/>
                                  <w:marRight w:val="0"/>
                                  <w:marTop w:val="0"/>
                                  <w:marBottom w:val="0"/>
                                  <w:divBdr>
                                    <w:top w:val="none" w:sz="0" w:space="0" w:color="auto"/>
                                    <w:left w:val="none" w:sz="0" w:space="0" w:color="auto"/>
                                    <w:bottom w:val="none" w:sz="0" w:space="0" w:color="auto"/>
                                    <w:right w:val="none" w:sz="0" w:space="0" w:color="auto"/>
                                  </w:divBdr>
                                </w:div>
                              </w:divsChild>
                            </w:div>
                            <w:div w:id="1455782260">
                              <w:marLeft w:val="-120"/>
                              <w:marRight w:val="-120"/>
                              <w:marTop w:val="0"/>
                              <w:marBottom w:val="0"/>
                              <w:divBdr>
                                <w:top w:val="none" w:sz="0" w:space="0" w:color="auto"/>
                                <w:left w:val="none" w:sz="0" w:space="0" w:color="auto"/>
                                <w:bottom w:val="none" w:sz="0" w:space="0" w:color="auto"/>
                                <w:right w:val="none" w:sz="0" w:space="0" w:color="auto"/>
                              </w:divBdr>
                              <w:divsChild>
                                <w:div w:id="1507359368">
                                  <w:marLeft w:val="0"/>
                                  <w:marRight w:val="0"/>
                                  <w:marTop w:val="0"/>
                                  <w:marBottom w:val="0"/>
                                  <w:divBdr>
                                    <w:top w:val="none" w:sz="0" w:space="0" w:color="auto"/>
                                    <w:left w:val="none" w:sz="0" w:space="0" w:color="auto"/>
                                    <w:bottom w:val="none" w:sz="0" w:space="0" w:color="auto"/>
                                    <w:right w:val="none" w:sz="0" w:space="0" w:color="auto"/>
                                  </w:divBdr>
                                </w:div>
                              </w:divsChild>
                            </w:div>
                            <w:div w:id="651522558">
                              <w:marLeft w:val="-120"/>
                              <w:marRight w:val="-120"/>
                              <w:marTop w:val="0"/>
                              <w:marBottom w:val="0"/>
                              <w:divBdr>
                                <w:top w:val="none" w:sz="0" w:space="0" w:color="auto"/>
                                <w:left w:val="none" w:sz="0" w:space="0" w:color="auto"/>
                                <w:bottom w:val="none" w:sz="0" w:space="0" w:color="auto"/>
                                <w:right w:val="none" w:sz="0" w:space="0" w:color="auto"/>
                              </w:divBdr>
                              <w:divsChild>
                                <w:div w:id="1590041">
                                  <w:marLeft w:val="0"/>
                                  <w:marRight w:val="0"/>
                                  <w:marTop w:val="0"/>
                                  <w:marBottom w:val="0"/>
                                  <w:divBdr>
                                    <w:top w:val="none" w:sz="0" w:space="0" w:color="auto"/>
                                    <w:left w:val="none" w:sz="0" w:space="0" w:color="auto"/>
                                    <w:bottom w:val="none" w:sz="0" w:space="0" w:color="auto"/>
                                    <w:right w:val="none" w:sz="0" w:space="0" w:color="auto"/>
                                  </w:divBdr>
                                </w:div>
                              </w:divsChild>
                            </w:div>
                            <w:div w:id="1108355146">
                              <w:marLeft w:val="-120"/>
                              <w:marRight w:val="-120"/>
                              <w:marTop w:val="0"/>
                              <w:marBottom w:val="0"/>
                              <w:divBdr>
                                <w:top w:val="none" w:sz="0" w:space="0" w:color="auto"/>
                                <w:left w:val="none" w:sz="0" w:space="0" w:color="auto"/>
                                <w:bottom w:val="none" w:sz="0" w:space="0" w:color="auto"/>
                                <w:right w:val="none" w:sz="0" w:space="0" w:color="auto"/>
                              </w:divBdr>
                              <w:divsChild>
                                <w:div w:id="887495283">
                                  <w:marLeft w:val="0"/>
                                  <w:marRight w:val="0"/>
                                  <w:marTop w:val="0"/>
                                  <w:marBottom w:val="0"/>
                                  <w:divBdr>
                                    <w:top w:val="none" w:sz="0" w:space="0" w:color="auto"/>
                                    <w:left w:val="none" w:sz="0" w:space="0" w:color="auto"/>
                                    <w:bottom w:val="none" w:sz="0" w:space="0" w:color="auto"/>
                                    <w:right w:val="none" w:sz="0" w:space="0" w:color="auto"/>
                                  </w:divBdr>
                                </w:div>
                              </w:divsChild>
                            </w:div>
                            <w:div w:id="1400442934">
                              <w:marLeft w:val="-120"/>
                              <w:marRight w:val="-120"/>
                              <w:marTop w:val="0"/>
                              <w:marBottom w:val="0"/>
                              <w:divBdr>
                                <w:top w:val="none" w:sz="0" w:space="0" w:color="auto"/>
                                <w:left w:val="none" w:sz="0" w:space="0" w:color="auto"/>
                                <w:bottom w:val="none" w:sz="0" w:space="0" w:color="auto"/>
                                <w:right w:val="none" w:sz="0" w:space="0" w:color="auto"/>
                              </w:divBdr>
                              <w:divsChild>
                                <w:div w:id="726144107">
                                  <w:marLeft w:val="0"/>
                                  <w:marRight w:val="0"/>
                                  <w:marTop w:val="0"/>
                                  <w:marBottom w:val="0"/>
                                  <w:divBdr>
                                    <w:top w:val="none" w:sz="0" w:space="0" w:color="auto"/>
                                    <w:left w:val="none" w:sz="0" w:space="0" w:color="auto"/>
                                    <w:bottom w:val="none" w:sz="0" w:space="0" w:color="auto"/>
                                    <w:right w:val="none" w:sz="0" w:space="0" w:color="auto"/>
                                  </w:divBdr>
                                </w:div>
                              </w:divsChild>
                            </w:div>
                            <w:div w:id="318387049">
                              <w:marLeft w:val="-120"/>
                              <w:marRight w:val="-120"/>
                              <w:marTop w:val="0"/>
                              <w:marBottom w:val="0"/>
                              <w:divBdr>
                                <w:top w:val="none" w:sz="0" w:space="0" w:color="auto"/>
                                <w:left w:val="none" w:sz="0" w:space="0" w:color="auto"/>
                                <w:bottom w:val="none" w:sz="0" w:space="0" w:color="auto"/>
                                <w:right w:val="none" w:sz="0" w:space="0" w:color="auto"/>
                              </w:divBdr>
                              <w:divsChild>
                                <w:div w:id="1763992667">
                                  <w:marLeft w:val="0"/>
                                  <w:marRight w:val="0"/>
                                  <w:marTop w:val="0"/>
                                  <w:marBottom w:val="0"/>
                                  <w:divBdr>
                                    <w:top w:val="none" w:sz="0" w:space="0" w:color="auto"/>
                                    <w:left w:val="none" w:sz="0" w:space="0" w:color="auto"/>
                                    <w:bottom w:val="none" w:sz="0" w:space="0" w:color="auto"/>
                                    <w:right w:val="none" w:sz="0" w:space="0" w:color="auto"/>
                                  </w:divBdr>
                                </w:div>
                              </w:divsChild>
                            </w:div>
                            <w:div w:id="21310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p.com/resource/resmgr/docs/toolkits/falls/bibliography.pdf" TargetMode="External"/><Relationship Id="rId18" Type="http://schemas.openxmlformats.org/officeDocument/2006/relationships/image" Target="media/image6.jpeg"/><Relationship Id="rId26" Type="http://schemas.openxmlformats.org/officeDocument/2006/relationships/hyperlink" Target="https://www.ascp.com/page/fallstoolkit" TargetMode="External"/><Relationship Id="rId3" Type="http://schemas.openxmlformats.org/officeDocument/2006/relationships/customXml" Target="../customXml/item3.xml"/><Relationship Id="rId21" Type="http://schemas.openxmlformats.org/officeDocument/2006/relationships/hyperlink" Target="https://www.ascp.com/page/fallstoolkit"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scp.com/resource/resmgr/docs/toolkits/falls/case-studies.pdf" TargetMode="External"/><Relationship Id="rId25" Type="http://schemas.openxmlformats.org/officeDocument/2006/relationships/hyperlink" Target="https://www.ascp.com/page/fallstoolkit"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cp.com/resource/resmgr/docs/toolkits/falls/checklist.pdf" TargetMode="External"/><Relationship Id="rId24" Type="http://schemas.openxmlformats.org/officeDocument/2006/relationships/hyperlink" Target="https://www.ascp.com/forums_engagement/Default.aspx?group=208451" TargetMode="External"/><Relationship Id="rId5" Type="http://schemas.openxmlformats.org/officeDocument/2006/relationships/styles" Target="styles.xml"/><Relationship Id="rId15" Type="http://schemas.openxmlformats.org/officeDocument/2006/relationships/hyperlink" Target="https://www.ascp.com/resource/resmgr/docs/toolkits/falls/templates.pdf" TargetMode="External"/><Relationship Id="rId23" Type="http://schemas.openxmlformats.org/officeDocument/2006/relationships/hyperlink" Target="https://www.ascp.com/resource/resmgr/docs/toolkits/falls/consumer-resources.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scp.com/resource/resmgr/docs/toolkits/falls/authorization-for-release.pdf" TargetMode="External"/><Relationship Id="rId4" Type="http://schemas.openxmlformats.org/officeDocument/2006/relationships/numbering" Target="numbering.xml"/><Relationship Id="rId9" Type="http://schemas.openxmlformats.org/officeDocument/2006/relationships/hyperlink" Target="http://learning.ascp.com/diweb/catalog/item/id/4921725"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ascp.com/page/fallstoolkit" TargetMode="External"/></Relationships>
</file>

<file path=word/theme/theme1.xml><?xml version="1.0" encoding="utf-8"?>
<a:theme xmlns:a="http://schemas.openxmlformats.org/drawingml/2006/main" name="ICOA Modern">
  <a:themeElements>
    <a:clrScheme name="icoa Modern">
      <a:dk1>
        <a:srgbClr val="000000"/>
      </a:dk1>
      <a:lt1>
        <a:srgbClr val="FFFFFF"/>
      </a:lt1>
      <a:dk2>
        <a:srgbClr val="203260"/>
      </a:dk2>
      <a:lt2>
        <a:srgbClr val="EBAD3B"/>
      </a:lt2>
      <a:accent1>
        <a:srgbClr val="499949"/>
      </a:accent1>
      <a:accent2>
        <a:srgbClr val="436898"/>
      </a:accent2>
      <a:accent3>
        <a:srgbClr val="542971"/>
      </a:accent3>
      <a:accent4>
        <a:srgbClr val="6C92CB"/>
      </a:accent4>
      <a:accent5>
        <a:srgbClr val="AE2F25"/>
      </a:accent5>
      <a:accent6>
        <a:srgbClr val="D77428"/>
      </a:accent6>
      <a:hlink>
        <a:srgbClr val="0000FF"/>
      </a:hlink>
      <a:folHlink>
        <a:srgbClr val="757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DA70C5769014B8695B271293FDD39" ma:contentTypeVersion="12" ma:contentTypeDescription="Create a new document." ma:contentTypeScope="" ma:versionID="fc9c8d47eab8534747b6915e8500e4c7">
  <xsd:schema xmlns:xsd="http://www.w3.org/2001/XMLSchema" xmlns:xs="http://www.w3.org/2001/XMLSchema" xmlns:p="http://schemas.microsoft.com/office/2006/metadata/properties" xmlns:ns3="b5fd3463-dbe5-4482-a0bf-8371917c47e0" xmlns:ns4="751bbe35-4dd9-407f-95c5-1dc3df3dfe46" targetNamespace="http://schemas.microsoft.com/office/2006/metadata/properties" ma:root="true" ma:fieldsID="0198a7ebdc775d5bac0291b8d2575a36" ns3:_="" ns4:_="">
    <xsd:import namespace="b5fd3463-dbe5-4482-a0bf-8371917c47e0"/>
    <xsd:import namespace="751bbe35-4dd9-407f-95c5-1dc3df3df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3463-dbe5-4482-a0bf-8371917c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bbe35-4dd9-407f-95c5-1dc3df3dfe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A89AB-80BB-47A2-9D90-D7B0408D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3463-dbe5-4482-a0bf-8371917c47e0"/>
    <ds:schemaRef ds:uri="751bbe35-4dd9-407f-95c5-1dc3df3df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9D33E-D4F3-40E8-9E8A-B542480CF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817D3-1371-4B70-9403-E0AA1022E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Olsen</dc:creator>
  <cp:keywords/>
  <dc:description/>
  <cp:lastModifiedBy>Erin Olsen</cp:lastModifiedBy>
  <cp:revision>3</cp:revision>
  <dcterms:created xsi:type="dcterms:W3CDTF">2020-07-24T16:49:00Z</dcterms:created>
  <dcterms:modified xsi:type="dcterms:W3CDTF">2020-08-31T22:04:00Z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0x010100EE0DA70C5769014B8695B271293FDD39</vt:lpwstr>
  </property>
</Properties>
</file>