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0579" w14:textId="77777777" w:rsidR="00A00159" w:rsidRDefault="00B007C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A0D5B7" wp14:editId="4133D6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2425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6C1DB" w14:textId="77777777" w:rsidR="00A00159" w:rsidRDefault="00A00159">
      <w:pPr>
        <w:pStyle w:val="BodyText"/>
        <w:rPr>
          <w:rFonts w:ascii="Times New Roman"/>
          <w:sz w:val="20"/>
        </w:rPr>
      </w:pPr>
    </w:p>
    <w:p w14:paraId="4E17D2AA" w14:textId="77777777" w:rsidR="00A00159" w:rsidRDefault="00A00159">
      <w:pPr>
        <w:pStyle w:val="BodyText"/>
        <w:rPr>
          <w:rFonts w:ascii="Times New Roman"/>
          <w:sz w:val="20"/>
        </w:rPr>
      </w:pPr>
    </w:p>
    <w:p w14:paraId="02F99103" w14:textId="77777777" w:rsidR="00A00159" w:rsidRDefault="00A00159">
      <w:pPr>
        <w:pStyle w:val="BodyText"/>
        <w:rPr>
          <w:rFonts w:ascii="Times New Roman"/>
          <w:sz w:val="20"/>
        </w:rPr>
      </w:pPr>
    </w:p>
    <w:p w14:paraId="3B3CDDFB" w14:textId="77777777" w:rsidR="00A00159" w:rsidRDefault="00A00159">
      <w:pPr>
        <w:pStyle w:val="BodyText"/>
        <w:rPr>
          <w:rFonts w:ascii="Times New Roman"/>
          <w:sz w:val="20"/>
        </w:rPr>
      </w:pPr>
    </w:p>
    <w:p w14:paraId="291CC160" w14:textId="77777777" w:rsidR="00A00159" w:rsidRDefault="00A00159">
      <w:pPr>
        <w:pStyle w:val="BodyText"/>
        <w:rPr>
          <w:rFonts w:ascii="Times New Roman"/>
          <w:sz w:val="20"/>
        </w:rPr>
      </w:pPr>
    </w:p>
    <w:p w14:paraId="4F334C87" w14:textId="77777777" w:rsidR="00A00159" w:rsidRDefault="00A00159">
      <w:pPr>
        <w:pStyle w:val="BodyText"/>
        <w:rPr>
          <w:rFonts w:ascii="Times New Roman"/>
          <w:sz w:val="20"/>
        </w:rPr>
      </w:pPr>
    </w:p>
    <w:p w14:paraId="7E0BA9E9" w14:textId="77777777" w:rsidR="00A00159" w:rsidRDefault="00A00159">
      <w:pPr>
        <w:pStyle w:val="BodyText"/>
        <w:rPr>
          <w:rFonts w:ascii="Times New Roman"/>
          <w:sz w:val="20"/>
        </w:rPr>
      </w:pPr>
    </w:p>
    <w:p w14:paraId="20824BCE" w14:textId="77777777" w:rsidR="00A00159" w:rsidRDefault="00A00159">
      <w:pPr>
        <w:pStyle w:val="BodyText"/>
        <w:rPr>
          <w:rFonts w:ascii="Times New Roman"/>
          <w:sz w:val="20"/>
        </w:rPr>
      </w:pPr>
    </w:p>
    <w:p w14:paraId="41A2D090" w14:textId="77777777" w:rsidR="00A00159" w:rsidRDefault="00A00159">
      <w:pPr>
        <w:pStyle w:val="BodyText"/>
        <w:rPr>
          <w:rFonts w:ascii="Times New Roman"/>
          <w:sz w:val="20"/>
        </w:rPr>
      </w:pPr>
    </w:p>
    <w:p w14:paraId="1E27FD08" w14:textId="77777777" w:rsidR="00A00159" w:rsidRDefault="00A00159">
      <w:pPr>
        <w:pStyle w:val="BodyText"/>
        <w:rPr>
          <w:rFonts w:ascii="Times New Roman"/>
          <w:sz w:val="20"/>
        </w:rPr>
      </w:pPr>
    </w:p>
    <w:p w14:paraId="7F22D1C7" w14:textId="77777777" w:rsidR="00A00159" w:rsidRDefault="00A00159">
      <w:pPr>
        <w:pStyle w:val="BodyText"/>
        <w:rPr>
          <w:rFonts w:ascii="Times New Roman"/>
          <w:sz w:val="20"/>
        </w:rPr>
      </w:pPr>
    </w:p>
    <w:p w14:paraId="75D6B022" w14:textId="77777777" w:rsidR="00A00159" w:rsidRDefault="00A00159">
      <w:pPr>
        <w:pStyle w:val="BodyText"/>
        <w:rPr>
          <w:rFonts w:ascii="Times New Roman"/>
          <w:sz w:val="20"/>
        </w:rPr>
      </w:pPr>
    </w:p>
    <w:p w14:paraId="482FF778" w14:textId="77777777" w:rsidR="00A00159" w:rsidRDefault="00A00159">
      <w:pPr>
        <w:pStyle w:val="BodyText"/>
        <w:rPr>
          <w:rFonts w:ascii="Times New Roman"/>
          <w:sz w:val="20"/>
        </w:rPr>
      </w:pPr>
    </w:p>
    <w:p w14:paraId="73359ED1" w14:textId="77777777" w:rsidR="00A00159" w:rsidRDefault="00A00159">
      <w:pPr>
        <w:pStyle w:val="BodyText"/>
        <w:rPr>
          <w:rFonts w:ascii="Times New Roman"/>
          <w:sz w:val="20"/>
        </w:rPr>
      </w:pPr>
    </w:p>
    <w:p w14:paraId="6B1AAB2A" w14:textId="77777777" w:rsidR="00A00159" w:rsidRDefault="00A00159">
      <w:pPr>
        <w:pStyle w:val="BodyText"/>
        <w:rPr>
          <w:rFonts w:ascii="Times New Roman"/>
          <w:sz w:val="20"/>
        </w:rPr>
      </w:pPr>
    </w:p>
    <w:p w14:paraId="7925522E" w14:textId="77777777" w:rsidR="00A00159" w:rsidRDefault="00A00159">
      <w:pPr>
        <w:pStyle w:val="BodyText"/>
        <w:rPr>
          <w:rFonts w:ascii="Times New Roman"/>
          <w:sz w:val="20"/>
        </w:rPr>
      </w:pPr>
    </w:p>
    <w:p w14:paraId="27CEAC84" w14:textId="77777777" w:rsidR="00A00159" w:rsidRDefault="00A00159">
      <w:pPr>
        <w:pStyle w:val="BodyText"/>
        <w:spacing w:before="9"/>
        <w:rPr>
          <w:rFonts w:ascii="Times New Roman"/>
          <w:sz w:val="29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89"/>
        <w:gridCol w:w="2189"/>
        <w:gridCol w:w="2189"/>
        <w:gridCol w:w="2189"/>
      </w:tblGrid>
      <w:tr w:rsidR="00A00159" w14:paraId="28C6E4F4" w14:textId="77777777">
        <w:trPr>
          <w:trHeight w:val="422"/>
        </w:trPr>
        <w:tc>
          <w:tcPr>
            <w:tcW w:w="2189" w:type="dxa"/>
            <w:tcBorders>
              <w:bottom w:val="nil"/>
            </w:tcBorders>
            <w:shd w:val="clear" w:color="auto" w:fill="00B5B5"/>
          </w:tcPr>
          <w:p w14:paraId="3EBD1CE5" w14:textId="77777777" w:rsidR="00A00159" w:rsidRDefault="00B007C2">
            <w:pPr>
              <w:pStyle w:val="TableParagraph"/>
              <w:spacing w:before="61"/>
              <w:ind w:right="229"/>
              <w:jc w:val="right"/>
              <w:rPr>
                <w:b/>
                <w:sz w:val="26"/>
              </w:rPr>
            </w:pPr>
            <w:bookmarkStart w:id="0" w:name="Slide_1"/>
            <w:bookmarkEnd w:id="0"/>
            <w:r>
              <w:rPr>
                <w:b/>
                <w:color w:val="FFFFFF"/>
                <w:sz w:val="26"/>
              </w:rPr>
              <w:t>September</w:t>
            </w:r>
            <w:r>
              <w:rPr>
                <w:b/>
                <w:color w:val="FFFFFF"/>
                <w:spacing w:val="-15"/>
                <w:sz w:val="26"/>
              </w:rPr>
              <w:t xml:space="preserve"> </w:t>
            </w:r>
            <w:r>
              <w:rPr>
                <w:b/>
                <w:color w:val="FFFFFF"/>
                <w:spacing w:val="-5"/>
                <w:sz w:val="26"/>
              </w:rPr>
              <w:t>18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00B5B5"/>
          </w:tcPr>
          <w:p w14:paraId="780A47F7" w14:textId="77777777" w:rsidR="00A00159" w:rsidRDefault="00B007C2">
            <w:pPr>
              <w:pStyle w:val="TableParagraph"/>
              <w:spacing w:before="61"/>
              <w:ind w:right="229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September</w:t>
            </w:r>
            <w:r>
              <w:rPr>
                <w:b/>
                <w:color w:val="FFFFFF"/>
                <w:spacing w:val="-15"/>
                <w:sz w:val="26"/>
              </w:rPr>
              <w:t xml:space="preserve"> </w:t>
            </w:r>
            <w:r>
              <w:rPr>
                <w:b/>
                <w:color w:val="FFFFFF"/>
                <w:spacing w:val="-5"/>
                <w:sz w:val="26"/>
              </w:rPr>
              <w:t>19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00B5B5"/>
          </w:tcPr>
          <w:p w14:paraId="3D77D993" w14:textId="77777777" w:rsidR="00A00159" w:rsidRDefault="00B007C2">
            <w:pPr>
              <w:pStyle w:val="TableParagraph"/>
              <w:spacing w:before="61"/>
              <w:ind w:left="82" w:right="7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September</w:t>
            </w:r>
            <w:r>
              <w:rPr>
                <w:b/>
                <w:color w:val="FFFFFF"/>
                <w:spacing w:val="-15"/>
                <w:sz w:val="26"/>
              </w:rPr>
              <w:t xml:space="preserve"> </w:t>
            </w:r>
            <w:r>
              <w:rPr>
                <w:b/>
                <w:color w:val="FFFFFF"/>
                <w:spacing w:val="-5"/>
                <w:sz w:val="26"/>
              </w:rPr>
              <w:t>20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00B5B5"/>
          </w:tcPr>
          <w:p w14:paraId="39E2A635" w14:textId="77777777" w:rsidR="00A00159" w:rsidRDefault="00B007C2">
            <w:pPr>
              <w:pStyle w:val="TableParagraph"/>
              <w:spacing w:before="61"/>
              <w:ind w:left="24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September</w:t>
            </w:r>
            <w:r>
              <w:rPr>
                <w:b/>
                <w:color w:val="FFFFFF"/>
                <w:spacing w:val="-15"/>
                <w:sz w:val="26"/>
              </w:rPr>
              <w:t xml:space="preserve"> </w:t>
            </w:r>
            <w:r>
              <w:rPr>
                <w:b/>
                <w:color w:val="FFFFFF"/>
                <w:spacing w:val="-5"/>
                <w:sz w:val="26"/>
              </w:rPr>
              <w:t>21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00B5B5"/>
          </w:tcPr>
          <w:p w14:paraId="470F15DF" w14:textId="77777777" w:rsidR="00A00159" w:rsidRDefault="00B007C2">
            <w:pPr>
              <w:pStyle w:val="TableParagraph"/>
              <w:spacing w:before="61"/>
              <w:ind w:right="226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September</w:t>
            </w:r>
            <w:r>
              <w:rPr>
                <w:b/>
                <w:color w:val="FFFFFF"/>
                <w:spacing w:val="-15"/>
                <w:sz w:val="26"/>
              </w:rPr>
              <w:t xml:space="preserve"> </w:t>
            </w:r>
            <w:r>
              <w:rPr>
                <w:b/>
                <w:color w:val="FFFFFF"/>
                <w:spacing w:val="-5"/>
                <w:sz w:val="26"/>
              </w:rPr>
              <w:t>22</w:t>
            </w:r>
          </w:p>
        </w:tc>
      </w:tr>
      <w:tr w:rsidR="00A00159" w14:paraId="2295E8E3" w14:textId="77777777">
        <w:trPr>
          <w:trHeight w:val="376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E98324"/>
          </w:tcPr>
          <w:p w14:paraId="714A2F6B" w14:textId="77777777" w:rsidR="00A00159" w:rsidRDefault="00B007C2">
            <w:pPr>
              <w:pStyle w:val="TableParagraph"/>
              <w:spacing w:before="65"/>
              <w:ind w:left="2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12:00-1:30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ET</w:t>
            </w: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E98324"/>
          </w:tcPr>
          <w:p w14:paraId="460A005A" w14:textId="77777777" w:rsidR="00A00159" w:rsidRDefault="00B007C2">
            <w:pPr>
              <w:pStyle w:val="TableParagraph"/>
              <w:spacing w:before="65"/>
              <w:ind w:left="2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12:00-1:30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ET</w:t>
            </w: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E98324"/>
          </w:tcPr>
          <w:p w14:paraId="08BC4681" w14:textId="77777777" w:rsidR="00A00159" w:rsidRDefault="00B007C2">
            <w:pPr>
              <w:pStyle w:val="TableParagraph"/>
              <w:spacing w:before="65"/>
              <w:ind w:left="79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12:00-1:15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ET</w:t>
            </w: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E98324"/>
          </w:tcPr>
          <w:p w14:paraId="39E9731E" w14:textId="77777777" w:rsidR="00A00159" w:rsidRDefault="00B007C2">
            <w:pPr>
              <w:pStyle w:val="TableParagraph"/>
              <w:spacing w:before="65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12:00-1:15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ET</w:t>
            </w: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E98324"/>
          </w:tcPr>
          <w:p w14:paraId="4BF21ED7" w14:textId="77777777" w:rsidR="00A00159" w:rsidRDefault="00B007C2">
            <w:pPr>
              <w:pStyle w:val="TableParagraph"/>
              <w:spacing w:before="65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12:00-1:00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ET</w:t>
            </w:r>
          </w:p>
        </w:tc>
      </w:tr>
      <w:tr w:rsidR="00A00159" w14:paraId="6B5BFFD5" w14:textId="77777777">
        <w:trPr>
          <w:trHeight w:val="2736"/>
        </w:trPr>
        <w:tc>
          <w:tcPr>
            <w:tcW w:w="2189" w:type="dxa"/>
            <w:tcBorders>
              <w:top w:val="nil"/>
              <w:bottom w:val="nil"/>
            </w:tcBorders>
          </w:tcPr>
          <w:p w14:paraId="6C140A94" w14:textId="77777777" w:rsidR="00A00159" w:rsidRDefault="00B007C2">
            <w:pPr>
              <w:pStyle w:val="TableParagraph"/>
              <w:spacing w:before="157" w:line="276" w:lineRule="auto"/>
              <w:ind w:left="18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Malnutrition in the Patient with Obesity: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Address the </w:t>
            </w:r>
            <w:r>
              <w:rPr>
                <w:b/>
                <w:spacing w:val="-2"/>
                <w:sz w:val="24"/>
              </w:rPr>
              <w:t>Under Recognition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57E6BFDB" w14:textId="77777777" w:rsidR="00A00159" w:rsidRDefault="00B007C2">
            <w:pPr>
              <w:pStyle w:val="TableParagraph"/>
              <w:spacing w:before="157" w:line="276" w:lineRule="auto"/>
              <w:ind w:left="18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This </w:t>
            </w:r>
            <w:r>
              <w:rPr>
                <w:b/>
                <w:spacing w:val="-2"/>
                <w:sz w:val="24"/>
              </w:rPr>
              <w:t xml:space="preserve">Malnutrition? </w:t>
            </w:r>
            <w:r>
              <w:rPr>
                <w:b/>
                <w:sz w:val="24"/>
              </w:rPr>
              <w:t xml:space="preserve">How to </w:t>
            </w:r>
            <w:r>
              <w:rPr>
                <w:b/>
                <w:spacing w:val="-2"/>
                <w:sz w:val="24"/>
              </w:rPr>
              <w:t>Approach Common Diagnostic Challenges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A5B2A92" w14:textId="77777777" w:rsidR="00A00159" w:rsidRDefault="00B007C2">
            <w:pPr>
              <w:pStyle w:val="TableParagraph"/>
              <w:spacing w:before="157" w:line="276" w:lineRule="auto"/>
              <w:ind w:left="1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Pediatric Malnutrition </w:t>
            </w:r>
            <w:r>
              <w:rPr>
                <w:b/>
                <w:sz w:val="24"/>
              </w:rPr>
              <w:t>Diagnosis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Provider Engagement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67D001A" w14:textId="77777777" w:rsidR="00A00159" w:rsidRDefault="00B007C2">
            <w:pPr>
              <w:pStyle w:val="TableParagraph"/>
              <w:spacing w:before="157" w:line="276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Addiction: The New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Skeleton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the Hospital </w:t>
            </w:r>
            <w:r>
              <w:rPr>
                <w:b/>
                <w:spacing w:val="-2"/>
                <w:sz w:val="24"/>
              </w:rPr>
              <w:t>Closet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479AFDA" w14:textId="77777777" w:rsidR="00A00159" w:rsidRDefault="00B007C2">
            <w:pPr>
              <w:pStyle w:val="TableParagraph"/>
              <w:spacing w:before="157" w:line="276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Malnutrition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Transitions of Care Between Health Care </w:t>
            </w:r>
            <w:r>
              <w:rPr>
                <w:b/>
                <w:spacing w:val="-2"/>
                <w:sz w:val="24"/>
              </w:rPr>
              <w:t>Settings</w:t>
            </w:r>
          </w:p>
        </w:tc>
      </w:tr>
      <w:tr w:rsidR="00A00159" w14:paraId="57B69ACD" w14:textId="77777777">
        <w:trPr>
          <w:trHeight w:val="789"/>
        </w:trPr>
        <w:tc>
          <w:tcPr>
            <w:tcW w:w="2189" w:type="dxa"/>
            <w:tcBorders>
              <w:top w:val="nil"/>
            </w:tcBorders>
          </w:tcPr>
          <w:p w14:paraId="43726CB7" w14:textId="77777777" w:rsidR="00A00159" w:rsidRDefault="00A00159">
            <w:pPr>
              <w:pStyle w:val="TableParagraph"/>
              <w:rPr>
                <w:rFonts w:ascii="Times New Roman"/>
              </w:rPr>
            </w:pPr>
          </w:p>
          <w:p w14:paraId="17C17655" w14:textId="77777777" w:rsidR="00A00159" w:rsidRDefault="00B007C2">
            <w:pPr>
              <w:pStyle w:val="TableParagraph"/>
              <w:spacing w:before="142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hours</w:t>
            </w:r>
          </w:p>
        </w:tc>
        <w:tc>
          <w:tcPr>
            <w:tcW w:w="2189" w:type="dxa"/>
            <w:tcBorders>
              <w:top w:val="nil"/>
            </w:tcBorders>
          </w:tcPr>
          <w:p w14:paraId="73E56A26" w14:textId="77777777" w:rsidR="00A00159" w:rsidRDefault="00A00159">
            <w:pPr>
              <w:pStyle w:val="TableParagraph"/>
              <w:rPr>
                <w:rFonts w:ascii="Times New Roman"/>
              </w:rPr>
            </w:pPr>
          </w:p>
          <w:p w14:paraId="43263AC0" w14:textId="77777777" w:rsidR="00A00159" w:rsidRDefault="00B007C2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hours</w:t>
            </w:r>
          </w:p>
        </w:tc>
        <w:tc>
          <w:tcPr>
            <w:tcW w:w="2189" w:type="dxa"/>
            <w:tcBorders>
              <w:top w:val="nil"/>
            </w:tcBorders>
          </w:tcPr>
          <w:p w14:paraId="2CA8B6D6" w14:textId="77777777" w:rsidR="00A00159" w:rsidRDefault="00A00159">
            <w:pPr>
              <w:pStyle w:val="TableParagraph"/>
              <w:rPr>
                <w:rFonts w:ascii="Times New Roman"/>
              </w:rPr>
            </w:pPr>
          </w:p>
          <w:p w14:paraId="5F7AF679" w14:textId="77777777" w:rsidR="00A00159" w:rsidRDefault="00B007C2">
            <w:pPr>
              <w:pStyle w:val="TableParagraph"/>
              <w:spacing w:before="142"/>
              <w:ind w:left="174" w:right="70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2189" w:type="dxa"/>
            <w:tcBorders>
              <w:top w:val="nil"/>
            </w:tcBorders>
          </w:tcPr>
          <w:p w14:paraId="0B4E6BC8" w14:textId="77777777" w:rsidR="00A00159" w:rsidRDefault="00A00159">
            <w:pPr>
              <w:pStyle w:val="TableParagraph"/>
              <w:rPr>
                <w:rFonts w:ascii="Times New Roman"/>
              </w:rPr>
            </w:pPr>
          </w:p>
          <w:p w14:paraId="5A8999BE" w14:textId="77777777" w:rsidR="00A00159" w:rsidRDefault="00B007C2">
            <w:pPr>
              <w:pStyle w:val="TableParagraph"/>
              <w:spacing w:before="142"/>
              <w:ind w:left="18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2189" w:type="dxa"/>
            <w:tcBorders>
              <w:top w:val="nil"/>
            </w:tcBorders>
          </w:tcPr>
          <w:p w14:paraId="6BDBEFCD" w14:textId="77777777" w:rsidR="00A00159" w:rsidRDefault="00A00159">
            <w:pPr>
              <w:pStyle w:val="TableParagraph"/>
              <w:rPr>
                <w:rFonts w:ascii="Times New Roman"/>
              </w:rPr>
            </w:pPr>
          </w:p>
          <w:p w14:paraId="6F8B8D3F" w14:textId="77777777" w:rsidR="00A00159" w:rsidRDefault="00B007C2">
            <w:pPr>
              <w:pStyle w:val="TableParagraph"/>
              <w:spacing w:before="142"/>
              <w:ind w:left="186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</w:tr>
    </w:tbl>
    <w:p w14:paraId="135DA07D" w14:textId="77777777" w:rsidR="00A00159" w:rsidRDefault="00A00159">
      <w:pPr>
        <w:pStyle w:val="BodyText"/>
        <w:rPr>
          <w:rFonts w:ascii="Times New Roman"/>
          <w:sz w:val="20"/>
        </w:rPr>
      </w:pPr>
    </w:p>
    <w:p w14:paraId="09E2921D" w14:textId="77777777" w:rsidR="00A00159" w:rsidRDefault="00A00159">
      <w:pPr>
        <w:pStyle w:val="BodyText"/>
        <w:spacing w:before="2"/>
        <w:rPr>
          <w:rFonts w:ascii="Times New Roman"/>
          <w:sz w:val="20"/>
        </w:rPr>
      </w:pPr>
    </w:p>
    <w:p w14:paraId="540C0693" w14:textId="77777777" w:rsidR="00A00159" w:rsidRDefault="00B007C2">
      <w:pPr>
        <w:pStyle w:val="Title"/>
        <w:spacing w:line="25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CC5348A" wp14:editId="0E316005">
                <wp:simplePos x="0" y="0"/>
                <wp:positionH relativeFrom="page">
                  <wp:posOffset>4038600</wp:posOffset>
                </wp:positionH>
                <wp:positionV relativeFrom="paragraph">
                  <wp:posOffset>87629</wp:posOffset>
                </wp:positionV>
                <wp:extent cx="3312160" cy="2714625"/>
                <wp:effectExtent l="0" t="0" r="2540" b="9525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160" cy="271462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</wps:spPr>
                      <wps:txbx>
                        <w:txbxContent>
                          <w:p w14:paraId="50C29AA5" w14:textId="570FD160" w:rsidR="00A00159" w:rsidRDefault="00B007C2">
                            <w:pPr>
                              <w:spacing w:before="228" w:line="249" w:lineRule="auto"/>
                              <w:ind w:left="217" w:right="21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The Idaho Commission on Aging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is an official ambassador for ASPEN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Malnutrition</w:t>
                            </w:r>
                            <w:r>
                              <w:rPr>
                                <w:color w:val="000000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Awareness</w:t>
                            </w:r>
                            <w:r>
                              <w:rPr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Week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0"/>
                                <w:sz w:val="21"/>
                              </w:rPr>
                              <w:t>TM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.</w:t>
                            </w:r>
                          </w:p>
                          <w:p w14:paraId="54B396CA" w14:textId="77777777" w:rsidR="00A00159" w:rsidRDefault="00A00159">
                            <w:pPr>
                              <w:spacing w:before="9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08AC9DFA" w14:textId="520696BA" w:rsidR="00A00159" w:rsidRDefault="00B007C2">
                            <w:pPr>
                              <w:spacing w:line="249" w:lineRule="auto"/>
                              <w:ind w:left="217" w:right="21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The Idaho Commission on Aging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members can use</w:t>
                            </w:r>
                            <w:r>
                              <w:rPr>
                                <w:color w:val="000000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code</w:t>
                            </w:r>
                            <w:r>
                              <w:rPr>
                                <w:color w:val="000000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[MAW</w:t>
                            </w:r>
                            <w:r>
                              <w:rPr>
                                <w:b/>
                                <w:color w:val="000000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Ambassador Code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] to complimentary registration to the webinars.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348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8pt;margin-top:6.9pt;width:260.8pt;height:213.75pt;z-index:157291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" fillcolor="#fff1cc" stroked="f">
                <v:textbox inset="0,0,0,0">
                  <w:txbxContent>
                    <w:p w14:paraId="50C29AA5" w14:textId="570FD160" w:rsidR="00A00159" w:rsidRDefault="00B007C2">
                      <w:pPr>
                        <w:spacing w:before="228" w:line="249" w:lineRule="auto"/>
                        <w:ind w:left="217" w:right="21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The Idaho Commission on Aging</w:t>
                      </w:r>
                      <w:r>
                        <w:rPr>
                          <w:color w:val="000000"/>
                          <w:sz w:val="32"/>
                        </w:rPr>
                        <w:t xml:space="preserve"> is an official ambassador for ASPEN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Malnutrition</w:t>
                      </w:r>
                      <w:r>
                        <w:rPr>
                          <w:color w:val="000000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Awareness</w:t>
                      </w:r>
                      <w:r>
                        <w:rPr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Week</w:t>
                      </w:r>
                      <w:r>
                        <w:rPr>
                          <w:color w:val="000000"/>
                          <w:spacing w:val="-2"/>
                          <w:position w:val="10"/>
                          <w:sz w:val="21"/>
                        </w:rPr>
                        <w:t>TM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.</w:t>
                      </w:r>
                    </w:p>
                    <w:p w14:paraId="54B396CA" w14:textId="77777777" w:rsidR="00A00159" w:rsidRDefault="00A00159">
                      <w:pPr>
                        <w:spacing w:before="9"/>
                        <w:rPr>
                          <w:color w:val="000000"/>
                          <w:sz w:val="33"/>
                        </w:rPr>
                      </w:pPr>
                    </w:p>
                    <w:p w14:paraId="08AC9DFA" w14:textId="520696BA" w:rsidR="00A00159" w:rsidRDefault="00B007C2">
                      <w:pPr>
                        <w:spacing w:line="249" w:lineRule="auto"/>
                        <w:ind w:left="217" w:right="21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The Idaho Commission on Aging</w:t>
                      </w:r>
                      <w:r>
                        <w:rPr>
                          <w:color w:val="000000"/>
                          <w:sz w:val="32"/>
                        </w:rPr>
                        <w:t xml:space="preserve"> members can use</w:t>
                      </w:r>
                      <w:r>
                        <w:rPr>
                          <w:color w:val="000000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the</w:t>
                      </w:r>
                      <w:r>
                        <w:rPr>
                          <w:color w:val="000000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code</w:t>
                      </w:r>
                      <w:r>
                        <w:rPr>
                          <w:color w:val="000000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[MAW</w:t>
                      </w:r>
                      <w:r>
                        <w:rPr>
                          <w:b/>
                          <w:color w:val="000000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Ambassador Code</w:t>
                      </w:r>
                      <w:r>
                        <w:rPr>
                          <w:color w:val="000000"/>
                          <w:sz w:val="32"/>
                        </w:rPr>
                        <w:t>] to complimentary registration to the webinars.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Visit </w:t>
      </w:r>
      <w:r>
        <w:rPr>
          <w:rFonts w:ascii="Franklin Gothic Demi"/>
          <w:b/>
          <w:color w:val="532D8F"/>
        </w:rPr>
        <w:t xml:space="preserve">nutritioncare.org/MAW </w:t>
      </w:r>
      <w:r>
        <w:t>to register for the webinars and access complimentary</w:t>
      </w:r>
      <w:r>
        <w:rPr>
          <w:spacing w:val="-14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tools,</w:t>
      </w:r>
      <w:r>
        <w:rPr>
          <w:spacing w:val="-9"/>
        </w:rPr>
        <w:t xml:space="preserve"> </w:t>
      </w:r>
      <w:r>
        <w:t>videos, podcasts, and other resources addressing malnutrition.</w:t>
      </w:r>
    </w:p>
    <w:p w14:paraId="6C651D67" w14:textId="77777777" w:rsidR="00A00159" w:rsidRDefault="00A00159">
      <w:pPr>
        <w:pStyle w:val="BodyText"/>
        <w:rPr>
          <w:sz w:val="38"/>
        </w:rPr>
      </w:pPr>
    </w:p>
    <w:p w14:paraId="7E25D6C0" w14:textId="77777777" w:rsidR="00A00159" w:rsidRDefault="00A00159">
      <w:pPr>
        <w:pStyle w:val="BodyText"/>
        <w:rPr>
          <w:sz w:val="38"/>
        </w:rPr>
      </w:pPr>
    </w:p>
    <w:p w14:paraId="0CAC77F8" w14:textId="77777777" w:rsidR="00A00159" w:rsidRDefault="00A00159">
      <w:pPr>
        <w:pStyle w:val="BodyText"/>
        <w:rPr>
          <w:sz w:val="38"/>
        </w:rPr>
      </w:pPr>
    </w:p>
    <w:p w14:paraId="4F830E14" w14:textId="77777777" w:rsidR="00A00159" w:rsidRDefault="00A00159">
      <w:pPr>
        <w:pStyle w:val="BodyText"/>
        <w:rPr>
          <w:sz w:val="38"/>
        </w:rPr>
      </w:pPr>
    </w:p>
    <w:p w14:paraId="71BFFCD0" w14:textId="77777777" w:rsidR="00A00159" w:rsidRDefault="00A00159">
      <w:pPr>
        <w:pStyle w:val="BodyText"/>
        <w:rPr>
          <w:sz w:val="38"/>
        </w:rPr>
      </w:pPr>
    </w:p>
    <w:p w14:paraId="6D52B8D0" w14:textId="77777777" w:rsidR="00A00159" w:rsidRDefault="00A00159">
      <w:pPr>
        <w:pStyle w:val="BodyText"/>
        <w:rPr>
          <w:sz w:val="38"/>
        </w:rPr>
      </w:pPr>
    </w:p>
    <w:p w14:paraId="1988EA24" w14:textId="77777777" w:rsidR="00A00159" w:rsidRDefault="00A00159">
      <w:pPr>
        <w:pStyle w:val="BodyText"/>
        <w:spacing w:before="5"/>
        <w:rPr>
          <w:sz w:val="36"/>
        </w:rPr>
      </w:pPr>
    </w:p>
    <w:p w14:paraId="348B342E" w14:textId="77777777" w:rsidR="00A00159" w:rsidRDefault="00B007C2">
      <w:pPr>
        <w:pStyle w:val="BodyText"/>
        <w:spacing w:line="254" w:lineRule="auto"/>
        <w:ind w:left="129" w:right="414" w:firstLine="12"/>
        <w:jc w:val="both"/>
      </w:pPr>
      <w:r>
        <w:t>Participants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eligible</w:t>
      </w:r>
      <w:r>
        <w:rPr>
          <w:spacing w:val="-3"/>
        </w:rPr>
        <w:t xml:space="preserve"> </w:t>
      </w:r>
      <w:r>
        <w:t>to claim</w:t>
      </w:r>
      <w:r>
        <w:rPr>
          <w:spacing w:val="-5"/>
        </w:rPr>
        <w:t xml:space="preserve"> </w:t>
      </w:r>
      <w:r>
        <w:t>CE credits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webinars.</w:t>
      </w:r>
      <w:r>
        <w:rPr>
          <w:spacing w:val="-3"/>
        </w:rPr>
        <w:t xml:space="preserve"> </w:t>
      </w:r>
      <w:r>
        <w:t>ASPEN,</w:t>
      </w:r>
      <w:r>
        <w:rPr>
          <w:spacing w:val="-1"/>
        </w:rPr>
        <w:t xml:space="preserve"> </w:t>
      </w:r>
      <w:r>
        <w:t>the American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for Parenteral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</w:t>
      </w:r>
      <w:r>
        <w:t>teral Nutrition,</w:t>
      </w:r>
      <w:r>
        <w:rPr>
          <w:spacing w:val="-3"/>
        </w:rPr>
        <w:t xml:space="preserve"> </w:t>
      </w:r>
      <w:r>
        <w:t>is accredited</w:t>
      </w:r>
      <w:r>
        <w:rPr>
          <w:spacing w:val="-8"/>
        </w:rPr>
        <w:t xml:space="preserve"> </w:t>
      </w:r>
      <w:r>
        <w:t>to provide medical,</w:t>
      </w:r>
      <w:r>
        <w:rPr>
          <w:spacing w:val="-9"/>
        </w:rPr>
        <w:t xml:space="preserve"> </w:t>
      </w:r>
      <w:r>
        <w:t>pharmacy,</w:t>
      </w:r>
      <w:r>
        <w:rPr>
          <w:spacing w:val="-5"/>
        </w:rPr>
        <w:t xml:space="preserve"> </w:t>
      </w:r>
      <w:r>
        <w:t>nursing,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dietetic</w:t>
      </w:r>
      <w:r>
        <w:rPr>
          <w:spacing w:val="-1"/>
        </w:rPr>
        <w:t xml:space="preserve"> </w:t>
      </w:r>
      <w:r>
        <w:t>credits.</w:t>
      </w:r>
      <w:r>
        <w:rPr>
          <w:spacing w:val="40"/>
        </w:rPr>
        <w:t xml:space="preserve"> </w:t>
      </w:r>
      <w:r>
        <w:t>Webinar</w:t>
      </w:r>
      <w:r>
        <w:rPr>
          <w:spacing w:val="-3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topics subject to change.</w:t>
      </w:r>
    </w:p>
    <w:p w14:paraId="5B5D9F07" w14:textId="77777777" w:rsidR="00A00159" w:rsidRDefault="00A00159">
      <w:pPr>
        <w:pStyle w:val="BodyText"/>
        <w:spacing w:before="6"/>
        <w:rPr>
          <w:sz w:val="14"/>
        </w:rPr>
      </w:pPr>
    </w:p>
    <w:p w14:paraId="31AAB2F9" w14:textId="77777777" w:rsidR="00A00159" w:rsidRDefault="00B007C2">
      <w:pPr>
        <w:spacing w:before="75"/>
        <w:ind w:left="112"/>
        <w:rPr>
          <w:rFonts w:ascii="Calibri"/>
          <w:sz w:val="16"/>
        </w:rPr>
      </w:pPr>
      <w:r>
        <w:rPr>
          <w:rFonts w:ascii="Calibri"/>
          <w:sz w:val="16"/>
        </w:rPr>
        <w:t>Malnutrition Awareness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Week</w:t>
      </w:r>
      <w:r>
        <w:rPr>
          <w:rFonts w:ascii="Calibri"/>
          <w:position w:val="5"/>
          <w:sz w:val="10"/>
        </w:rPr>
        <w:t>TM</w:t>
      </w:r>
      <w:r>
        <w:rPr>
          <w:rFonts w:ascii="Calibri"/>
          <w:spacing w:val="9"/>
          <w:position w:val="5"/>
          <w:sz w:val="10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trademark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American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Society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Parenteral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Enteral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Nutrition</w:t>
      </w:r>
      <w:r>
        <w:rPr>
          <w:rFonts w:ascii="Calibri"/>
          <w:spacing w:val="-2"/>
          <w:sz w:val="16"/>
        </w:rPr>
        <w:t xml:space="preserve"> (ASPEN).</w:t>
      </w:r>
    </w:p>
    <w:sectPr w:rsidR="00A00159">
      <w:type w:val="continuous"/>
      <w:pgSz w:w="12240" w:h="15840"/>
      <w:pgMar w:top="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159"/>
    <w:rsid w:val="00A00159"/>
    <w:rsid w:val="00B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02ED"/>
  <w15:docId w15:val="{8FCE3679-5948-4EE7-BC17-971E83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ranklin Gothic Book" w:eastAsia="Franklin Gothic Book" w:hAnsi="Franklin Gothic Book" w:cs="Franklin Gothic Book"/>
      <w:sz w:val="21"/>
      <w:szCs w:val="21"/>
    </w:rPr>
  </w:style>
  <w:style w:type="paragraph" w:styleId="Title">
    <w:name w:val="Title"/>
    <w:basedOn w:val="Normal"/>
    <w:uiPriority w:val="10"/>
    <w:qFormat/>
    <w:pPr>
      <w:spacing w:before="101"/>
      <w:ind w:left="142" w:right="5448"/>
    </w:pPr>
    <w:rPr>
      <w:rFonts w:ascii="Franklin Gothic Book" w:eastAsia="Franklin Gothic Book" w:hAnsi="Franklin Gothic Book" w:cs="Franklin Gothic Book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Peggi Guenter</dc:creator>
  <cp:lastModifiedBy>Birgit Luebeck</cp:lastModifiedBy>
  <cp:revision>2</cp:revision>
  <dcterms:created xsi:type="dcterms:W3CDTF">2023-06-29T15:42:00Z</dcterms:created>
  <dcterms:modified xsi:type="dcterms:W3CDTF">2023-06-29T15:43:00Z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2023-06-29T00:00:00Z</vt:filetime>
  </property>
  <property fmtid="{D5CDD505-2E9C-101B-9397-08002B2CF9AE}" pid="5" name="Producer">
    <vt:lpwstr>Microsoft® PowerPoint® for Microsoft 365</vt:lpwstr>
  </property>
</Properties>
</file>